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225144" w:rsidRPr="00225144" w:rsidTr="002251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150" w:after="150" w:line="240" w:lineRule="auto"/>
              <w:ind w:left="450" w:right="450"/>
              <w:jc w:val="center"/>
              <w:rPr>
                <w:rFonts w:ascii="Times New Roman" w:eastAsia="Times New Roman" w:hAnsi="Times New Roman" w:cs="Times New Roman"/>
                <w:sz w:val="24"/>
                <w:szCs w:val="24"/>
                <w:lang w:eastAsia="uk-UA"/>
              </w:rPr>
            </w:pPr>
            <w:r w:rsidRPr="00225144">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25144" w:rsidRPr="00225144" w:rsidTr="002251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300" w:after="0" w:line="240" w:lineRule="auto"/>
              <w:ind w:left="450" w:right="450"/>
              <w:jc w:val="center"/>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32"/>
                <w:szCs w:val="32"/>
                <w:lang w:eastAsia="uk-UA"/>
              </w:rPr>
              <w:t>КАБІНЕТ МІНІСТРІВ УКРАЇНИ</w:t>
            </w:r>
            <w:r w:rsidRPr="00225144">
              <w:rPr>
                <w:rFonts w:ascii="Times New Roman" w:eastAsia="Times New Roman" w:hAnsi="Times New Roman" w:cs="Times New Roman"/>
                <w:sz w:val="24"/>
                <w:szCs w:val="24"/>
                <w:lang w:eastAsia="uk-UA"/>
              </w:rPr>
              <w:t> </w:t>
            </w:r>
            <w:r w:rsidRPr="00225144">
              <w:rPr>
                <w:rFonts w:ascii="Times New Roman" w:eastAsia="Times New Roman" w:hAnsi="Times New Roman" w:cs="Times New Roman"/>
                <w:sz w:val="24"/>
                <w:szCs w:val="24"/>
                <w:lang w:eastAsia="uk-UA"/>
              </w:rPr>
              <w:br/>
            </w:r>
            <w:r w:rsidRPr="00225144">
              <w:rPr>
                <w:rFonts w:ascii="Times New Roman" w:eastAsia="Times New Roman" w:hAnsi="Times New Roman" w:cs="Times New Roman"/>
                <w:b/>
                <w:bCs/>
                <w:color w:val="000000"/>
                <w:sz w:val="36"/>
                <w:szCs w:val="36"/>
                <w:lang w:eastAsia="uk-UA"/>
              </w:rPr>
              <w:t>ПОСТАНОВА</w:t>
            </w:r>
          </w:p>
        </w:tc>
      </w:tr>
      <w:tr w:rsidR="00225144" w:rsidRPr="00225144" w:rsidTr="0022514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150" w:after="150" w:line="240" w:lineRule="auto"/>
              <w:ind w:left="450" w:right="450"/>
              <w:jc w:val="center"/>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24"/>
                <w:szCs w:val="24"/>
                <w:lang w:eastAsia="uk-UA"/>
              </w:rPr>
              <w:t>від 11 липня 2018 р. № 547 </w:t>
            </w:r>
            <w:r w:rsidRPr="00225144">
              <w:rPr>
                <w:rFonts w:ascii="Times New Roman" w:eastAsia="Times New Roman" w:hAnsi="Times New Roman" w:cs="Times New Roman"/>
                <w:sz w:val="24"/>
                <w:szCs w:val="24"/>
                <w:lang w:eastAsia="uk-UA"/>
              </w:rPr>
              <w:br/>
            </w:r>
            <w:r w:rsidRPr="00225144">
              <w:rPr>
                <w:rFonts w:ascii="Times New Roman" w:eastAsia="Times New Roman" w:hAnsi="Times New Roman" w:cs="Times New Roman"/>
                <w:b/>
                <w:bCs/>
                <w:color w:val="000000"/>
                <w:sz w:val="24"/>
                <w:szCs w:val="24"/>
                <w:lang w:eastAsia="uk-UA"/>
              </w:rPr>
              <w:t>Київ</w:t>
            </w:r>
          </w:p>
        </w:tc>
      </w:tr>
    </w:tbl>
    <w:p w:rsidR="00225144" w:rsidRPr="00225144" w:rsidRDefault="00225144" w:rsidP="0022514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25144">
        <w:rPr>
          <w:rFonts w:ascii="Times New Roman" w:eastAsia="Times New Roman" w:hAnsi="Times New Roman" w:cs="Times New Roman"/>
          <w:b/>
          <w:bCs/>
          <w:color w:val="000000"/>
          <w:sz w:val="32"/>
          <w:szCs w:val="32"/>
          <w:lang w:eastAsia="uk-UA"/>
        </w:rPr>
        <w:t>Про внесення змін до Порядку подання фінансової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225144">
        <w:rPr>
          <w:rFonts w:ascii="Times New Roman" w:eastAsia="Times New Roman" w:hAnsi="Times New Roman" w:cs="Times New Roman"/>
          <w:color w:val="000000"/>
          <w:sz w:val="24"/>
          <w:szCs w:val="24"/>
          <w:lang w:eastAsia="uk-UA"/>
        </w:rPr>
        <w:t>Кабінет Міністрів України</w:t>
      </w:r>
      <w:r w:rsidRPr="00225144">
        <w:rPr>
          <w:rFonts w:ascii="Times New Roman" w:eastAsia="Times New Roman" w:hAnsi="Times New Roman" w:cs="Times New Roman"/>
          <w:b/>
          <w:bCs/>
          <w:color w:val="000000"/>
          <w:spacing w:val="30"/>
          <w:sz w:val="24"/>
          <w:szCs w:val="24"/>
          <w:lang w:eastAsia="uk-UA"/>
        </w:rPr>
        <w:t> постановляє:</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225144">
        <w:rPr>
          <w:rFonts w:ascii="Times New Roman" w:eastAsia="Times New Roman" w:hAnsi="Times New Roman" w:cs="Times New Roman"/>
          <w:color w:val="000000"/>
          <w:sz w:val="24"/>
          <w:szCs w:val="24"/>
          <w:lang w:eastAsia="uk-UA"/>
        </w:rPr>
        <w:t xml:space="preserve">1. </w:t>
      </w:r>
      <w:proofErr w:type="spellStart"/>
      <w:r w:rsidRPr="00225144">
        <w:rPr>
          <w:rFonts w:ascii="Times New Roman" w:eastAsia="Times New Roman" w:hAnsi="Times New Roman" w:cs="Times New Roman"/>
          <w:color w:val="000000"/>
          <w:sz w:val="24"/>
          <w:szCs w:val="24"/>
          <w:lang w:eastAsia="uk-UA"/>
        </w:rPr>
        <w:t>Внести</w:t>
      </w:r>
      <w:proofErr w:type="spellEnd"/>
      <w:r w:rsidRPr="00225144">
        <w:rPr>
          <w:rFonts w:ascii="Times New Roman" w:eastAsia="Times New Roman" w:hAnsi="Times New Roman" w:cs="Times New Roman"/>
          <w:color w:val="000000"/>
          <w:sz w:val="24"/>
          <w:szCs w:val="24"/>
          <w:lang w:eastAsia="uk-UA"/>
        </w:rPr>
        <w:t xml:space="preserve"> до </w:t>
      </w:r>
      <w:hyperlink r:id="rId6" w:anchor="n12" w:tgtFrame="_blank" w:history="1">
        <w:r w:rsidRPr="00225144">
          <w:rPr>
            <w:rFonts w:ascii="Times New Roman" w:eastAsia="Times New Roman" w:hAnsi="Times New Roman" w:cs="Times New Roman"/>
            <w:color w:val="0000FF"/>
            <w:sz w:val="24"/>
            <w:szCs w:val="24"/>
            <w:u w:val="single"/>
            <w:lang w:eastAsia="uk-UA"/>
          </w:rPr>
          <w:t>Порядку подання фінансової звітності</w:t>
        </w:r>
      </w:hyperlink>
      <w:r w:rsidRPr="00225144">
        <w:rPr>
          <w:rFonts w:ascii="Times New Roman" w:eastAsia="Times New Roman" w:hAnsi="Times New Roman" w:cs="Times New Roman"/>
          <w:color w:val="000000"/>
          <w:sz w:val="24"/>
          <w:szCs w:val="24"/>
          <w:lang w:eastAsia="uk-UA"/>
        </w:rPr>
        <w:t>, затвердженого постановою Кабінету Міністрів України від 28 лютого 2000 р. № 419 (Офіційний вісник України, 2000 р., № 9, ст. 344; 2005 р., № 1, ст. 14, № 22, ст. 1203; 2006 р., № 18, ст. 1345; 2009 р., № 77, ст. 2614; 2011 р., № 30, ст. 1308, № 71, ст. 2684, № 93, ст. 3376; 2013 р., № 7, ст. 240, № 90, ст. 3308; 2015 р., № 50, ст. 1618), зміни, що додаються.</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225144">
        <w:rPr>
          <w:rFonts w:ascii="Times New Roman" w:eastAsia="Times New Roman" w:hAnsi="Times New Roman" w:cs="Times New Roman"/>
          <w:color w:val="000000"/>
          <w:sz w:val="24"/>
          <w:szCs w:val="24"/>
          <w:lang w:eastAsia="uk-UA"/>
        </w:rPr>
        <w:t>2. Ця постанова набирає чинності з дня її опублікування, крім абзацу восьмого пункту 1 змін, затверджених цією постановою, який набирає чинності з 1 січня 2019 року.</w:t>
      </w:r>
    </w:p>
    <w:tbl>
      <w:tblPr>
        <w:tblW w:w="5000" w:type="pct"/>
        <w:tblCellMar>
          <w:left w:w="0" w:type="dxa"/>
          <w:right w:w="0" w:type="dxa"/>
        </w:tblCellMar>
        <w:tblLook w:val="04A0" w:firstRow="1" w:lastRow="0" w:firstColumn="1" w:lastColumn="0" w:noHBand="0" w:noVBand="1"/>
      </w:tblPr>
      <w:tblGrid>
        <w:gridCol w:w="2890"/>
        <w:gridCol w:w="963"/>
        <w:gridCol w:w="5780"/>
      </w:tblGrid>
      <w:tr w:rsidR="00225144" w:rsidRPr="00225144" w:rsidTr="0022514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225144">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300" w:after="0" w:line="240" w:lineRule="auto"/>
              <w:jc w:val="right"/>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24"/>
                <w:szCs w:val="24"/>
                <w:lang w:eastAsia="uk-UA"/>
              </w:rPr>
              <w:t>В.ГРОЙСМАН</w:t>
            </w:r>
          </w:p>
        </w:tc>
      </w:tr>
      <w:tr w:rsidR="00225144" w:rsidRPr="00225144" w:rsidTr="002251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300" w:after="150" w:line="240" w:lineRule="auto"/>
              <w:jc w:val="center"/>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24"/>
                <w:szCs w:val="24"/>
                <w:lang w:eastAsia="uk-UA"/>
              </w:rPr>
              <w:t>Інд. 67</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300" w:after="0" w:line="240" w:lineRule="auto"/>
              <w:jc w:val="right"/>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24"/>
                <w:szCs w:val="24"/>
                <w:lang w:eastAsia="uk-UA"/>
              </w:rPr>
              <w:br/>
            </w:r>
          </w:p>
        </w:tc>
      </w:tr>
      <w:tr w:rsidR="00225144" w:rsidRPr="00225144" w:rsidTr="00225144">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150" w:after="150" w:line="240" w:lineRule="auto"/>
              <w:rPr>
                <w:rFonts w:ascii="Times New Roman" w:eastAsia="Times New Roman" w:hAnsi="Times New Roman" w:cs="Times New Roman"/>
                <w:sz w:val="24"/>
                <w:szCs w:val="24"/>
                <w:lang w:eastAsia="uk-UA"/>
              </w:rPr>
            </w:pPr>
            <w:bookmarkStart w:id="5" w:name="n65"/>
            <w:bookmarkStart w:id="6" w:name="n8"/>
            <w:bookmarkEnd w:id="5"/>
            <w:bookmarkEnd w:id="6"/>
            <w:r w:rsidRPr="00225144">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25144" w:rsidRPr="00225144" w:rsidRDefault="00225144" w:rsidP="00225144">
            <w:pPr>
              <w:spacing w:before="150" w:after="150" w:line="240" w:lineRule="auto"/>
              <w:jc w:val="center"/>
              <w:rPr>
                <w:rFonts w:ascii="Times New Roman" w:eastAsia="Times New Roman" w:hAnsi="Times New Roman" w:cs="Times New Roman"/>
                <w:sz w:val="24"/>
                <w:szCs w:val="24"/>
                <w:lang w:eastAsia="uk-UA"/>
              </w:rPr>
            </w:pPr>
            <w:r w:rsidRPr="00225144">
              <w:rPr>
                <w:rFonts w:ascii="Times New Roman" w:eastAsia="Times New Roman" w:hAnsi="Times New Roman" w:cs="Times New Roman"/>
                <w:b/>
                <w:bCs/>
                <w:color w:val="000000"/>
                <w:sz w:val="24"/>
                <w:szCs w:val="24"/>
                <w:lang w:eastAsia="uk-UA"/>
              </w:rPr>
              <w:t>ЗАТВЕРДЖЕНО </w:t>
            </w:r>
            <w:r w:rsidRPr="00225144">
              <w:rPr>
                <w:rFonts w:ascii="Times New Roman" w:eastAsia="Times New Roman" w:hAnsi="Times New Roman" w:cs="Times New Roman"/>
                <w:sz w:val="24"/>
                <w:szCs w:val="24"/>
                <w:lang w:eastAsia="uk-UA"/>
              </w:rPr>
              <w:br/>
            </w:r>
            <w:r w:rsidRPr="00225144">
              <w:rPr>
                <w:rFonts w:ascii="Times New Roman" w:eastAsia="Times New Roman" w:hAnsi="Times New Roman" w:cs="Times New Roman"/>
                <w:b/>
                <w:bCs/>
                <w:color w:val="000000"/>
                <w:sz w:val="24"/>
                <w:szCs w:val="24"/>
                <w:lang w:eastAsia="uk-UA"/>
              </w:rPr>
              <w:t>постановою Кабінету Міністрів України </w:t>
            </w:r>
            <w:r w:rsidRPr="00225144">
              <w:rPr>
                <w:rFonts w:ascii="Times New Roman" w:eastAsia="Times New Roman" w:hAnsi="Times New Roman" w:cs="Times New Roman"/>
                <w:sz w:val="24"/>
                <w:szCs w:val="24"/>
                <w:lang w:eastAsia="uk-UA"/>
              </w:rPr>
              <w:br/>
            </w:r>
            <w:r w:rsidRPr="00225144">
              <w:rPr>
                <w:rFonts w:ascii="Times New Roman" w:eastAsia="Times New Roman" w:hAnsi="Times New Roman" w:cs="Times New Roman"/>
                <w:b/>
                <w:bCs/>
                <w:color w:val="000000"/>
                <w:sz w:val="24"/>
                <w:szCs w:val="24"/>
                <w:lang w:eastAsia="uk-UA"/>
              </w:rPr>
              <w:t>від 11 липня 2018 р. № 547</w:t>
            </w:r>
          </w:p>
        </w:tc>
      </w:tr>
    </w:tbl>
    <w:p w:rsidR="00225144" w:rsidRPr="00225144" w:rsidRDefault="00225144" w:rsidP="00225144">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225144">
        <w:rPr>
          <w:rFonts w:ascii="Times New Roman" w:eastAsia="Times New Roman" w:hAnsi="Times New Roman" w:cs="Times New Roman"/>
          <w:b/>
          <w:bCs/>
          <w:color w:val="000000"/>
          <w:sz w:val="32"/>
          <w:szCs w:val="32"/>
          <w:lang w:eastAsia="uk-UA"/>
        </w:rPr>
        <w:t>ЗМІНИ, </w:t>
      </w:r>
      <w:r w:rsidRPr="00225144">
        <w:rPr>
          <w:rFonts w:ascii="Times New Roman" w:eastAsia="Times New Roman" w:hAnsi="Times New Roman" w:cs="Times New Roman"/>
          <w:color w:val="000000"/>
          <w:sz w:val="24"/>
          <w:szCs w:val="24"/>
          <w:lang w:eastAsia="uk-UA"/>
        </w:rPr>
        <w:br/>
      </w:r>
      <w:r w:rsidRPr="00225144">
        <w:rPr>
          <w:rFonts w:ascii="Times New Roman" w:eastAsia="Times New Roman" w:hAnsi="Times New Roman" w:cs="Times New Roman"/>
          <w:b/>
          <w:bCs/>
          <w:color w:val="000000"/>
          <w:sz w:val="32"/>
          <w:szCs w:val="32"/>
          <w:lang w:eastAsia="uk-UA"/>
        </w:rPr>
        <w:t>що вносяться до </w:t>
      </w:r>
      <w:hyperlink r:id="rId7" w:anchor="n12" w:tgtFrame="_blank" w:history="1">
        <w:r w:rsidRPr="00225144">
          <w:rPr>
            <w:rFonts w:ascii="Times New Roman" w:eastAsia="Times New Roman" w:hAnsi="Times New Roman" w:cs="Times New Roman"/>
            <w:b/>
            <w:bCs/>
            <w:color w:val="0000FF"/>
            <w:sz w:val="32"/>
            <w:szCs w:val="32"/>
            <w:u w:val="single"/>
            <w:lang w:eastAsia="uk-UA"/>
          </w:rPr>
          <w:t>Порядку подання фінансової звітності</w:t>
        </w:r>
      </w:hyperlink>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225144">
        <w:rPr>
          <w:rFonts w:ascii="Times New Roman" w:eastAsia="Times New Roman" w:hAnsi="Times New Roman" w:cs="Times New Roman"/>
          <w:color w:val="000000"/>
          <w:sz w:val="24"/>
          <w:szCs w:val="24"/>
          <w:lang w:eastAsia="uk-UA"/>
        </w:rPr>
        <w:t>1. </w:t>
      </w:r>
      <w:hyperlink r:id="rId8" w:anchor="n16" w:tgtFrame="_blank" w:history="1">
        <w:r w:rsidRPr="00225144">
          <w:rPr>
            <w:rFonts w:ascii="Times New Roman" w:eastAsia="Times New Roman" w:hAnsi="Times New Roman" w:cs="Times New Roman"/>
            <w:color w:val="0000FF"/>
            <w:sz w:val="24"/>
            <w:szCs w:val="24"/>
            <w:u w:val="single"/>
            <w:lang w:eastAsia="uk-UA"/>
          </w:rPr>
          <w:t>Пункт 2</w:t>
        </w:r>
      </w:hyperlink>
      <w:r w:rsidRPr="00225144">
        <w:rPr>
          <w:rFonts w:ascii="Times New Roman" w:eastAsia="Times New Roman" w:hAnsi="Times New Roman" w:cs="Times New Roman"/>
          <w:color w:val="000000"/>
          <w:sz w:val="24"/>
          <w:szCs w:val="24"/>
          <w:lang w:eastAsia="uk-UA"/>
        </w:rPr>
        <w:t> викласти в такій редакції:</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225144">
        <w:rPr>
          <w:rFonts w:ascii="Times New Roman" w:eastAsia="Times New Roman" w:hAnsi="Times New Roman" w:cs="Times New Roman"/>
          <w:color w:val="000000"/>
          <w:sz w:val="24"/>
          <w:szCs w:val="24"/>
          <w:lang w:eastAsia="uk-UA"/>
        </w:rPr>
        <w:t>“2. Фінансова звітність подається органам, до сфери управління яких належать підприємства, трудовим колективам на їх вимогу, власникам (засновникам) відповідно до установчих документів, а також згідно із законодавством - іншим органам та користувачам, зокрема органам державної статистики.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225144">
        <w:rPr>
          <w:rFonts w:ascii="Times New Roman" w:eastAsia="Times New Roman" w:hAnsi="Times New Roman" w:cs="Times New Roman"/>
          <w:color w:val="000000"/>
          <w:sz w:val="24"/>
          <w:szCs w:val="24"/>
          <w:lang w:eastAsia="uk-UA"/>
        </w:rPr>
        <w:t>Фінансова звітність та консолідована фінансова звітність складаються за національними положеннями (стандартами) бухгалтерського обліку або міжнародними стандартами фінансової звітності або національними положеннями (стандартами) бухгалтерського обліку в державному секторі відповідно до законодавства.</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225144">
        <w:rPr>
          <w:rFonts w:ascii="Times New Roman" w:eastAsia="Times New Roman" w:hAnsi="Times New Roman" w:cs="Times New Roman"/>
          <w:color w:val="000000"/>
          <w:sz w:val="24"/>
          <w:szCs w:val="24"/>
          <w:lang w:eastAsia="uk-UA"/>
        </w:rPr>
        <w:t xml:space="preserve">Фінансова звітність та консолідована фінансова звітність складаються за міжнародними стандартами фінансової звітності публічними акціонерними товариствами, підприємствами - </w:t>
      </w:r>
      <w:r w:rsidRPr="00225144">
        <w:rPr>
          <w:rFonts w:ascii="Times New Roman" w:eastAsia="Times New Roman" w:hAnsi="Times New Roman" w:cs="Times New Roman"/>
          <w:color w:val="000000"/>
          <w:sz w:val="24"/>
          <w:szCs w:val="24"/>
          <w:lang w:eastAsia="uk-UA"/>
        </w:rPr>
        <w:lastRenderedPageBreak/>
        <w:t>емітентами цінних паперів, цінні папери яких допущені до торгів на фондових біржах або щодо цінних паперів яких здійснено публічну пропозицію, банками, страховиками, кредитними спілками, підприємствами, які провадять діяльність з видобутку корисних копалин загальнодержавного значення, підприємствами, які відповідно до </w:t>
      </w:r>
      <w:hyperlink r:id="rId9" w:tgtFrame="_blank" w:history="1">
        <w:r w:rsidRPr="00225144">
          <w:rPr>
            <w:rFonts w:ascii="Times New Roman" w:eastAsia="Times New Roman" w:hAnsi="Times New Roman" w:cs="Times New Roman"/>
            <w:color w:val="0000FF"/>
            <w:sz w:val="24"/>
            <w:szCs w:val="24"/>
            <w:u w:val="single"/>
            <w:lang w:eastAsia="uk-UA"/>
          </w:rPr>
          <w:t>Закону України</w:t>
        </w:r>
      </w:hyperlink>
      <w:r w:rsidRPr="00225144">
        <w:rPr>
          <w:rFonts w:ascii="Times New Roman" w:eastAsia="Times New Roman" w:hAnsi="Times New Roman" w:cs="Times New Roman"/>
          <w:color w:val="000000"/>
          <w:sz w:val="24"/>
          <w:szCs w:val="24"/>
          <w:lang w:eastAsia="uk-UA"/>
        </w:rPr>
        <w:t> “Про бухгалтерський облік та фінансову звітність в Україні” належать до великих підприємств, а також підприємствами, які провадять господарську діяльність за такими видами: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225144">
        <w:rPr>
          <w:rFonts w:ascii="Times New Roman" w:eastAsia="Times New Roman" w:hAnsi="Times New Roman" w:cs="Times New Roman"/>
          <w:color w:val="000000"/>
          <w:sz w:val="24"/>
          <w:szCs w:val="24"/>
          <w:lang w:eastAsia="uk-UA"/>
        </w:rPr>
        <w:t>надання фінансових послуг, крім страхування та пенсійного забезпечення (</w:t>
      </w:r>
      <w:hyperlink r:id="rId10" w:tgtFrame="_blank" w:history="1">
        <w:r w:rsidRPr="00225144">
          <w:rPr>
            <w:rFonts w:ascii="Times New Roman" w:eastAsia="Times New Roman" w:hAnsi="Times New Roman" w:cs="Times New Roman"/>
            <w:color w:val="0000FF"/>
            <w:sz w:val="24"/>
            <w:szCs w:val="24"/>
            <w:u w:val="single"/>
            <w:lang w:eastAsia="uk-UA"/>
          </w:rPr>
          <w:t>розділ 64</w:t>
        </w:r>
      </w:hyperlink>
      <w:r w:rsidRPr="00225144">
        <w:rPr>
          <w:rFonts w:ascii="Times New Roman" w:eastAsia="Times New Roman" w:hAnsi="Times New Roman" w:cs="Times New Roman"/>
          <w:color w:val="000000"/>
          <w:sz w:val="24"/>
          <w:szCs w:val="24"/>
          <w:lang w:eastAsia="uk-UA"/>
        </w:rPr>
        <w:t> КВЕД ДК 009:2010);</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225144">
        <w:rPr>
          <w:rFonts w:ascii="Times New Roman" w:eastAsia="Times New Roman" w:hAnsi="Times New Roman" w:cs="Times New Roman"/>
          <w:color w:val="000000"/>
          <w:sz w:val="24"/>
          <w:szCs w:val="24"/>
          <w:lang w:eastAsia="uk-UA"/>
        </w:rPr>
        <w:t>недержавне пенсійне забезпечення (</w:t>
      </w:r>
      <w:hyperlink r:id="rId11" w:tgtFrame="_blank" w:history="1">
        <w:r w:rsidRPr="00225144">
          <w:rPr>
            <w:rFonts w:ascii="Times New Roman" w:eastAsia="Times New Roman" w:hAnsi="Times New Roman" w:cs="Times New Roman"/>
            <w:color w:val="0000FF"/>
            <w:sz w:val="24"/>
            <w:szCs w:val="24"/>
            <w:u w:val="single"/>
            <w:lang w:eastAsia="uk-UA"/>
          </w:rPr>
          <w:t>група 65.3</w:t>
        </w:r>
      </w:hyperlink>
      <w:r w:rsidRPr="00225144">
        <w:rPr>
          <w:rFonts w:ascii="Times New Roman" w:eastAsia="Times New Roman" w:hAnsi="Times New Roman" w:cs="Times New Roman"/>
          <w:color w:val="000000"/>
          <w:sz w:val="24"/>
          <w:szCs w:val="24"/>
          <w:lang w:eastAsia="uk-UA"/>
        </w:rPr>
        <w:t> КВЕД ДК 009:2010);</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225144">
        <w:rPr>
          <w:rFonts w:ascii="Times New Roman" w:eastAsia="Times New Roman" w:hAnsi="Times New Roman" w:cs="Times New Roman"/>
          <w:color w:val="000000"/>
          <w:sz w:val="24"/>
          <w:szCs w:val="24"/>
          <w:lang w:eastAsia="uk-UA"/>
        </w:rPr>
        <w:t>допоміжна діяльність у сферах фінансових послуг і страхування (</w:t>
      </w:r>
      <w:hyperlink r:id="rId12" w:tgtFrame="_blank" w:history="1">
        <w:r w:rsidRPr="00225144">
          <w:rPr>
            <w:rFonts w:ascii="Times New Roman" w:eastAsia="Times New Roman" w:hAnsi="Times New Roman" w:cs="Times New Roman"/>
            <w:color w:val="0000FF"/>
            <w:sz w:val="24"/>
            <w:szCs w:val="24"/>
            <w:u w:val="single"/>
            <w:lang w:eastAsia="uk-UA"/>
          </w:rPr>
          <w:t>розділ 66</w:t>
        </w:r>
      </w:hyperlink>
      <w:r w:rsidRPr="00225144">
        <w:rPr>
          <w:rFonts w:ascii="Times New Roman" w:eastAsia="Times New Roman" w:hAnsi="Times New Roman" w:cs="Times New Roman"/>
          <w:color w:val="000000"/>
          <w:sz w:val="24"/>
          <w:szCs w:val="24"/>
          <w:lang w:eastAsia="uk-UA"/>
        </w:rPr>
        <w:t> КВЕД ДК 009:2010), за винятком допоміжної діяльності у сфері страхування та пенсійного забезпечення (</w:t>
      </w:r>
      <w:hyperlink r:id="rId13" w:tgtFrame="_blank" w:history="1">
        <w:r w:rsidRPr="00225144">
          <w:rPr>
            <w:rFonts w:ascii="Times New Roman" w:eastAsia="Times New Roman" w:hAnsi="Times New Roman" w:cs="Times New Roman"/>
            <w:color w:val="0000FF"/>
            <w:sz w:val="24"/>
            <w:szCs w:val="24"/>
            <w:u w:val="single"/>
            <w:lang w:eastAsia="uk-UA"/>
          </w:rPr>
          <w:t>група 66.2</w:t>
        </w:r>
      </w:hyperlink>
      <w:r w:rsidRPr="00225144">
        <w:rPr>
          <w:rFonts w:ascii="Times New Roman" w:eastAsia="Times New Roman" w:hAnsi="Times New Roman" w:cs="Times New Roman"/>
          <w:color w:val="000000"/>
          <w:sz w:val="24"/>
          <w:szCs w:val="24"/>
          <w:lang w:eastAsia="uk-UA"/>
        </w:rPr>
        <w:t> КВЕД ДК 009:2010).</w:t>
      </w:r>
    </w:p>
    <w:bookmarkStart w:id="15" w:name="n17"/>
    <w:bookmarkEnd w:id="15"/>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r w:rsidRPr="00225144">
        <w:rPr>
          <w:rFonts w:ascii="Times New Roman" w:eastAsia="Times New Roman" w:hAnsi="Times New Roman" w:cs="Times New Roman"/>
          <w:color w:val="000000"/>
          <w:sz w:val="24"/>
          <w:szCs w:val="24"/>
          <w:lang w:eastAsia="uk-UA"/>
        </w:rPr>
        <w:fldChar w:fldCharType="begin"/>
      </w:r>
      <w:r w:rsidRPr="00225144">
        <w:rPr>
          <w:rFonts w:ascii="Times New Roman" w:eastAsia="Times New Roman" w:hAnsi="Times New Roman" w:cs="Times New Roman"/>
          <w:color w:val="000000"/>
          <w:sz w:val="24"/>
          <w:szCs w:val="24"/>
          <w:lang w:eastAsia="uk-UA"/>
        </w:rPr>
        <w:instrText xml:space="preserve"> HYPERLINK "http://zakon.rada.gov.ua/laws/show/z0336-13" \l "n17" \t "_blank" </w:instrText>
      </w:r>
      <w:r w:rsidRPr="00225144">
        <w:rPr>
          <w:rFonts w:ascii="Times New Roman" w:eastAsia="Times New Roman" w:hAnsi="Times New Roman" w:cs="Times New Roman"/>
          <w:color w:val="000000"/>
          <w:sz w:val="24"/>
          <w:szCs w:val="24"/>
          <w:lang w:eastAsia="uk-UA"/>
        </w:rPr>
        <w:fldChar w:fldCharType="separate"/>
      </w:r>
      <w:r w:rsidRPr="00225144">
        <w:rPr>
          <w:rFonts w:ascii="Times New Roman" w:eastAsia="Times New Roman" w:hAnsi="Times New Roman" w:cs="Times New Roman"/>
          <w:color w:val="0000FF"/>
          <w:sz w:val="24"/>
          <w:szCs w:val="24"/>
          <w:u w:val="single"/>
          <w:lang w:eastAsia="uk-UA"/>
        </w:rPr>
        <w:t>Фінансова звітність</w:t>
      </w:r>
      <w:r w:rsidRPr="00225144">
        <w:rPr>
          <w:rFonts w:ascii="Times New Roman" w:eastAsia="Times New Roman" w:hAnsi="Times New Roman" w:cs="Times New Roman"/>
          <w:color w:val="000000"/>
          <w:sz w:val="24"/>
          <w:szCs w:val="24"/>
          <w:lang w:eastAsia="uk-UA"/>
        </w:rPr>
        <w:fldChar w:fldCharType="end"/>
      </w:r>
      <w:r w:rsidRPr="00225144">
        <w:rPr>
          <w:rFonts w:ascii="Times New Roman" w:eastAsia="Times New Roman" w:hAnsi="Times New Roman" w:cs="Times New Roman"/>
          <w:color w:val="000000"/>
          <w:sz w:val="24"/>
          <w:szCs w:val="24"/>
          <w:lang w:eastAsia="uk-UA"/>
        </w:rPr>
        <w:t> та </w:t>
      </w:r>
      <w:hyperlink r:id="rId14" w:anchor="n16" w:tgtFrame="_blank" w:history="1">
        <w:r w:rsidRPr="00225144">
          <w:rPr>
            <w:rFonts w:ascii="Times New Roman" w:eastAsia="Times New Roman" w:hAnsi="Times New Roman" w:cs="Times New Roman"/>
            <w:color w:val="0000FF"/>
            <w:sz w:val="24"/>
            <w:szCs w:val="24"/>
            <w:u w:val="single"/>
            <w:lang w:eastAsia="uk-UA"/>
          </w:rPr>
          <w:t>консолідована фінансова звітність</w:t>
        </w:r>
      </w:hyperlink>
      <w:r w:rsidRPr="00225144">
        <w:rPr>
          <w:rFonts w:ascii="Times New Roman" w:eastAsia="Times New Roman" w:hAnsi="Times New Roman" w:cs="Times New Roman"/>
          <w:color w:val="000000"/>
          <w:sz w:val="24"/>
          <w:szCs w:val="24"/>
          <w:lang w:eastAsia="uk-UA"/>
        </w:rPr>
        <w:t>, складена на основі таксономії фінансової звітності за міжнародними стандартами фінансової звітності в єдиному електронному форматі, визначеному Мінфіном, подається до центру збору фінансової звітності, операційне управління яким здійснюється НКЦПФР, з метою забезпечення доступу органів державної влади, інших органів та користувачів до поданої підприємствами фінансової звітності та консолідованої фінансової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225144">
        <w:rPr>
          <w:rFonts w:ascii="Times New Roman" w:eastAsia="Times New Roman" w:hAnsi="Times New Roman" w:cs="Times New Roman"/>
          <w:color w:val="000000"/>
          <w:sz w:val="24"/>
          <w:szCs w:val="24"/>
          <w:lang w:eastAsia="uk-UA"/>
        </w:rPr>
        <w:t>Підприємства (крім бюджетних установ, мікропідприємств та малих підприємств) подають разом з річною фінансовою звітністю звіт про управління. У разі подання підприємством консолідованої фінансової звітності подається консолідований звіт про управління. Середні підприємства мають право не відображати у звіті про управління нефінансову інформацію.</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225144">
        <w:rPr>
          <w:rFonts w:ascii="Times New Roman" w:eastAsia="Times New Roman" w:hAnsi="Times New Roman" w:cs="Times New Roman"/>
          <w:color w:val="000000"/>
          <w:sz w:val="24"/>
          <w:szCs w:val="24"/>
          <w:lang w:eastAsia="uk-UA"/>
        </w:rPr>
        <w:t>Підприємства, які провадять діяльність з видобутку корисних копалин загальнодержавного значення або заготівлю деревини і при цьому становлять суспільний інтерес, подають разом з річною фінансовою звітністю звіт про платежі на користь держави. У разі подання підприємством консолідованої фінансової звітності подається консолідований звіт про платежі на користь держави.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225144">
        <w:rPr>
          <w:rFonts w:ascii="Times New Roman" w:eastAsia="Times New Roman" w:hAnsi="Times New Roman" w:cs="Times New Roman"/>
          <w:color w:val="000000"/>
          <w:sz w:val="24"/>
          <w:szCs w:val="24"/>
          <w:lang w:eastAsia="uk-UA"/>
        </w:rPr>
        <w:t>Банки подають фінансову звітність, консолідовану фінансову звітність, звіт про управління та консолідований звіт про управління Національному банку в установленому ним порядку.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225144">
        <w:rPr>
          <w:rFonts w:ascii="Times New Roman" w:eastAsia="Times New Roman" w:hAnsi="Times New Roman" w:cs="Times New Roman"/>
          <w:color w:val="000000"/>
          <w:sz w:val="24"/>
          <w:szCs w:val="24"/>
          <w:lang w:eastAsia="uk-UA"/>
        </w:rPr>
        <w:t>Розпорядники коштів державного бюджету та фонди загальнообов’язкового державного соціального і пенсійного страхування подають </w:t>
      </w:r>
      <w:hyperlink r:id="rId15" w:anchor="n16" w:tgtFrame="_blank" w:history="1">
        <w:r w:rsidRPr="00225144">
          <w:rPr>
            <w:rFonts w:ascii="Times New Roman" w:eastAsia="Times New Roman" w:hAnsi="Times New Roman" w:cs="Times New Roman"/>
            <w:color w:val="0000FF"/>
            <w:sz w:val="24"/>
            <w:szCs w:val="24"/>
            <w:u w:val="single"/>
            <w:lang w:eastAsia="uk-UA"/>
          </w:rPr>
          <w:t>фінансову звітність</w:t>
        </w:r>
      </w:hyperlink>
      <w:r w:rsidRPr="00225144">
        <w:rPr>
          <w:rFonts w:ascii="Times New Roman" w:eastAsia="Times New Roman" w:hAnsi="Times New Roman" w:cs="Times New Roman"/>
          <w:color w:val="000000"/>
          <w:sz w:val="24"/>
          <w:szCs w:val="24"/>
          <w:lang w:eastAsia="uk-UA"/>
        </w:rPr>
        <w:t> органам Казначейства, складену згідно з національними положеннями (стандартами) бухгалтерського обліку в державному секторі, за формами, встановленими Мінфіном.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225144">
        <w:rPr>
          <w:rFonts w:ascii="Times New Roman" w:eastAsia="Times New Roman" w:hAnsi="Times New Roman" w:cs="Times New Roman"/>
          <w:color w:val="000000"/>
          <w:sz w:val="24"/>
          <w:szCs w:val="24"/>
          <w:lang w:eastAsia="uk-UA"/>
        </w:rPr>
        <w:t>Розпорядники коштів місцевих бюджетів подають фінансову звітність органам Казначейства та місцевим фінансовим органам, складену згідно з національними положеннями (стандартами) бухгалтерського обліку в державному секторі, за формами, встановленими Мінфіном.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225144">
        <w:rPr>
          <w:rFonts w:ascii="Times New Roman" w:eastAsia="Times New Roman" w:hAnsi="Times New Roman" w:cs="Times New Roman"/>
          <w:color w:val="000000"/>
          <w:sz w:val="24"/>
          <w:szCs w:val="24"/>
          <w:lang w:eastAsia="uk-UA"/>
        </w:rPr>
        <w:t>Платники податку на прибуток у визначених законом випадках подають органам доходів і зборів у порядку, передбаченому </w:t>
      </w:r>
      <w:hyperlink r:id="rId16" w:tgtFrame="_blank" w:history="1">
        <w:r w:rsidRPr="00225144">
          <w:rPr>
            <w:rFonts w:ascii="Times New Roman" w:eastAsia="Times New Roman" w:hAnsi="Times New Roman" w:cs="Times New Roman"/>
            <w:color w:val="0000FF"/>
            <w:sz w:val="24"/>
            <w:szCs w:val="24"/>
            <w:u w:val="single"/>
            <w:lang w:eastAsia="uk-UA"/>
          </w:rPr>
          <w:t>Податковим кодексом України</w:t>
        </w:r>
      </w:hyperlink>
      <w:r w:rsidRPr="00225144">
        <w:rPr>
          <w:rFonts w:ascii="Times New Roman" w:eastAsia="Times New Roman" w:hAnsi="Times New Roman" w:cs="Times New Roman"/>
          <w:color w:val="000000"/>
          <w:sz w:val="24"/>
          <w:szCs w:val="24"/>
          <w:lang w:eastAsia="uk-UA"/>
        </w:rPr>
        <w:t> для подання </w:t>
      </w:r>
      <w:hyperlink r:id="rId17" w:anchor="n20" w:tgtFrame="_blank" w:history="1">
        <w:r w:rsidRPr="00225144">
          <w:rPr>
            <w:rFonts w:ascii="Times New Roman" w:eastAsia="Times New Roman" w:hAnsi="Times New Roman" w:cs="Times New Roman"/>
            <w:color w:val="0000FF"/>
            <w:sz w:val="24"/>
            <w:szCs w:val="24"/>
            <w:u w:val="single"/>
            <w:lang w:eastAsia="uk-UA"/>
          </w:rPr>
          <w:t>податкової декларації</w:t>
        </w:r>
      </w:hyperlink>
      <w:r w:rsidRPr="00225144">
        <w:rPr>
          <w:rFonts w:ascii="Times New Roman" w:eastAsia="Times New Roman" w:hAnsi="Times New Roman" w:cs="Times New Roman"/>
          <w:color w:val="000000"/>
          <w:sz w:val="24"/>
          <w:szCs w:val="24"/>
          <w:lang w:eastAsia="uk-UA"/>
        </w:rPr>
        <w:t>, проміжну (I квартал, перше півріччя, дев’ять місяців) та річну фінансову звітність.</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225144">
        <w:rPr>
          <w:rFonts w:ascii="Times New Roman" w:eastAsia="Times New Roman" w:hAnsi="Times New Roman" w:cs="Times New Roman"/>
          <w:color w:val="000000"/>
          <w:sz w:val="24"/>
          <w:szCs w:val="24"/>
          <w:lang w:eastAsia="uk-UA"/>
        </w:rPr>
        <w:t>Підприємства, які складають фінансову звітність та консолідовану фінансову звітність за національними положеннями (стандартами) бухгалтерського обліку або національними положеннями (стандартами) бухгалтерського обліку в </w:t>
      </w:r>
      <w:hyperlink r:id="rId18" w:anchor="n16" w:tgtFrame="_blank" w:history="1">
        <w:r w:rsidRPr="00225144">
          <w:rPr>
            <w:rFonts w:ascii="Times New Roman" w:eastAsia="Times New Roman" w:hAnsi="Times New Roman" w:cs="Times New Roman"/>
            <w:color w:val="0000FF"/>
            <w:sz w:val="24"/>
            <w:szCs w:val="24"/>
            <w:u w:val="single"/>
            <w:lang w:eastAsia="uk-UA"/>
          </w:rPr>
          <w:t>державному секторі</w:t>
        </w:r>
      </w:hyperlink>
      <w:r w:rsidRPr="00225144">
        <w:rPr>
          <w:rFonts w:ascii="Times New Roman" w:eastAsia="Times New Roman" w:hAnsi="Times New Roman" w:cs="Times New Roman"/>
          <w:color w:val="000000"/>
          <w:sz w:val="24"/>
          <w:szCs w:val="24"/>
          <w:lang w:eastAsia="uk-UA"/>
        </w:rPr>
        <w:t xml:space="preserve">, складають проміжну фінансову звітність, яка охоплює відповідний період (I квартал, перше півріччя, </w:t>
      </w:r>
      <w:r w:rsidRPr="00225144">
        <w:rPr>
          <w:rFonts w:ascii="Times New Roman" w:eastAsia="Times New Roman" w:hAnsi="Times New Roman" w:cs="Times New Roman"/>
          <w:color w:val="000000"/>
          <w:sz w:val="24"/>
          <w:szCs w:val="24"/>
          <w:lang w:eastAsia="uk-UA"/>
        </w:rPr>
        <w:lastRenderedPageBreak/>
        <w:t>дев’ять місяців), наростаючим підсумком з початку звітного року у складі балансу та звіту про фінансові результати.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225144">
        <w:rPr>
          <w:rFonts w:ascii="Times New Roman" w:eastAsia="Times New Roman" w:hAnsi="Times New Roman" w:cs="Times New Roman"/>
          <w:color w:val="000000"/>
          <w:sz w:val="24"/>
          <w:szCs w:val="24"/>
          <w:lang w:eastAsia="uk-UA"/>
        </w:rPr>
        <w:t>Підприємства, яким відповідно до  </w:t>
      </w:r>
      <w:hyperlink r:id="rId19" w:tgtFrame="_blank" w:history="1">
        <w:r w:rsidRPr="00225144">
          <w:rPr>
            <w:rFonts w:ascii="Times New Roman" w:eastAsia="Times New Roman" w:hAnsi="Times New Roman" w:cs="Times New Roman"/>
            <w:color w:val="0000FF"/>
            <w:sz w:val="24"/>
            <w:szCs w:val="24"/>
            <w:u w:val="single"/>
            <w:lang w:eastAsia="uk-UA"/>
          </w:rPr>
          <w:t>Закону України</w:t>
        </w:r>
      </w:hyperlink>
      <w:r w:rsidRPr="00225144">
        <w:rPr>
          <w:rFonts w:ascii="Times New Roman" w:eastAsia="Times New Roman" w:hAnsi="Times New Roman" w:cs="Times New Roman"/>
          <w:color w:val="000000"/>
          <w:sz w:val="24"/>
          <w:szCs w:val="24"/>
          <w:lang w:eastAsia="uk-UA"/>
        </w:rPr>
        <w:t> “Про бухгалтерський облік та фінансову звітність в Україні” встановлюється скорочена за показниками фінансова звітність у складі балансу та звіту про фінансові результати (крім тих, які зобов’язані складати фінансову звітність за міжнародними стандартами фінансової звітності), та підприємства, які ведуть спрощений бухгалтерський облік доходів і витрат відповідно до податкового законодавства, подають відповідним органам річну </w:t>
      </w:r>
      <w:hyperlink r:id="rId20" w:tgtFrame="_blank" w:history="1">
        <w:r w:rsidRPr="00225144">
          <w:rPr>
            <w:rFonts w:ascii="Times New Roman" w:eastAsia="Times New Roman" w:hAnsi="Times New Roman" w:cs="Times New Roman"/>
            <w:color w:val="0000FF"/>
            <w:sz w:val="24"/>
            <w:szCs w:val="24"/>
            <w:u w:val="single"/>
            <w:lang w:eastAsia="uk-UA"/>
          </w:rPr>
          <w:t>фінансову звітність</w:t>
        </w:r>
      </w:hyperlink>
      <w:r w:rsidRPr="00225144">
        <w:rPr>
          <w:rFonts w:ascii="Times New Roman" w:eastAsia="Times New Roman" w:hAnsi="Times New Roman" w:cs="Times New Roman"/>
          <w:color w:val="000000"/>
          <w:sz w:val="24"/>
          <w:szCs w:val="24"/>
          <w:lang w:eastAsia="uk-UA"/>
        </w:rPr>
        <w:t>, передбачену для суб’єктів малого підприємництва.</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225144">
        <w:rPr>
          <w:rFonts w:ascii="Times New Roman" w:eastAsia="Times New Roman" w:hAnsi="Times New Roman" w:cs="Times New Roman"/>
          <w:color w:val="000000"/>
          <w:sz w:val="24"/>
          <w:szCs w:val="24"/>
          <w:lang w:eastAsia="uk-UA"/>
        </w:rPr>
        <w:t>У разі коли організація діяльності органів державної статистики, органів Казначейства та інших органів, до яких подається фінансова звітність, припинена (порушена) у зв’язку з тимчасовою окупацією території у Донецькій та Луганській областях, Автономній Республіці Крим та м. Севастополі та/або проведенням антитерористичної операції, підприємства, розміщені на такій території, подають фінансову звітність після відновлення звичайної діяльності зазначених органів або відповідним органам в населених пунктах, на території яких такі органи здійснюють повноваження в повному обсязі.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225144">
        <w:rPr>
          <w:rFonts w:ascii="Times New Roman" w:eastAsia="Times New Roman" w:hAnsi="Times New Roman" w:cs="Times New Roman"/>
          <w:color w:val="000000"/>
          <w:sz w:val="24"/>
          <w:szCs w:val="24"/>
          <w:lang w:eastAsia="uk-UA"/>
        </w:rPr>
        <w:t>Річна фінансова звітність, річна консолідована фінансова звітність, звіт про управління, консолідований звіт про управління, звіт про платежі на користь держави та консолідований звіт про платежі на користь держави, складення яких передбачено законодавством, повинні бути оприлюднені разом з аудиторським звітом на веб-сторінці або веб-сайті підприємства (у повному обсязі) та в інший спосіб у випадках, визначених законодавством, у форматі, який виключає можливість внесення змін до фінансової звітності іншими користувачами, та в єдиному електронному форматі, визначеному Мінфіном,  на основі таксономії  фінансової звітності за міжнародними стандартами фінансової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225144">
        <w:rPr>
          <w:rFonts w:ascii="Times New Roman" w:eastAsia="Times New Roman" w:hAnsi="Times New Roman" w:cs="Times New Roman"/>
          <w:color w:val="000000"/>
          <w:sz w:val="24"/>
          <w:szCs w:val="24"/>
          <w:lang w:eastAsia="uk-UA"/>
        </w:rPr>
        <w:t xml:space="preserve">Підприємства можуть подавати уточнену фінансову звітність та уточнену консолідовану фінансову звітність на заміну раніше поданої фінансової звітності та консолідованої фінансової звітності за результатами проведення аудиторської перевірки з метою виправлення самостійно виявлених помилок або з інших причин. Подання та оприлюднення уточненої фінансової звітності та уточненої консолідованої фінансової звітності здійснюються у такому самому порядку, як і фінансової звітності та консолідованої фінансової звітності, що </w:t>
      </w:r>
      <w:proofErr w:type="spellStart"/>
      <w:r w:rsidRPr="00225144">
        <w:rPr>
          <w:rFonts w:ascii="Times New Roman" w:eastAsia="Times New Roman" w:hAnsi="Times New Roman" w:cs="Times New Roman"/>
          <w:color w:val="000000"/>
          <w:sz w:val="24"/>
          <w:szCs w:val="24"/>
          <w:lang w:eastAsia="uk-UA"/>
        </w:rPr>
        <w:t>уточнюються</w:t>
      </w:r>
      <w:proofErr w:type="spellEnd"/>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225144">
        <w:rPr>
          <w:rFonts w:ascii="Times New Roman" w:eastAsia="Times New Roman" w:hAnsi="Times New Roman" w:cs="Times New Roman"/>
          <w:color w:val="000000"/>
          <w:sz w:val="24"/>
          <w:szCs w:val="24"/>
          <w:lang w:eastAsia="uk-UA"/>
        </w:rPr>
        <w:t>2. </w:t>
      </w:r>
      <w:hyperlink r:id="rId21" w:anchor="n46" w:tgtFrame="_blank" w:history="1">
        <w:r w:rsidRPr="00225144">
          <w:rPr>
            <w:rFonts w:ascii="Times New Roman" w:eastAsia="Times New Roman" w:hAnsi="Times New Roman" w:cs="Times New Roman"/>
            <w:color w:val="0000FF"/>
            <w:sz w:val="24"/>
            <w:szCs w:val="24"/>
            <w:u w:val="single"/>
            <w:lang w:eastAsia="uk-UA"/>
          </w:rPr>
          <w:t>Пункт 4</w:t>
        </w:r>
      </w:hyperlink>
      <w:r w:rsidRPr="00225144">
        <w:rPr>
          <w:rFonts w:ascii="Times New Roman" w:eastAsia="Times New Roman" w:hAnsi="Times New Roman" w:cs="Times New Roman"/>
          <w:color w:val="000000"/>
          <w:sz w:val="24"/>
          <w:szCs w:val="24"/>
          <w:lang w:eastAsia="uk-UA"/>
        </w:rPr>
        <w:t> доповнити абзацами такого змісту: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225144">
        <w:rPr>
          <w:rFonts w:ascii="Times New Roman" w:eastAsia="Times New Roman" w:hAnsi="Times New Roman" w:cs="Times New Roman"/>
          <w:color w:val="000000"/>
          <w:sz w:val="24"/>
          <w:szCs w:val="24"/>
          <w:lang w:eastAsia="uk-UA"/>
        </w:rPr>
        <w:t>“Датою подання фінансової звітності в єдиному електронному форматі вважається дата одержання електронного повідомлення про одержання центром збору фінансової звітності такої фінансової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225144">
        <w:rPr>
          <w:rFonts w:ascii="Times New Roman" w:eastAsia="Times New Roman" w:hAnsi="Times New Roman" w:cs="Times New Roman"/>
          <w:color w:val="000000"/>
          <w:sz w:val="24"/>
          <w:szCs w:val="24"/>
          <w:lang w:eastAsia="uk-UA"/>
        </w:rPr>
        <w:t>Датою подання фінансової звітності в електронному форматі для розпорядників бюджетних коштів та фондів загальнообов’язкового державного соціального і пенсійного страхування вважається дата одержання повідомлення від Казначейства (органу Казначейства) про подання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225144">
        <w:rPr>
          <w:rFonts w:ascii="Times New Roman" w:eastAsia="Times New Roman" w:hAnsi="Times New Roman" w:cs="Times New Roman"/>
          <w:color w:val="000000"/>
          <w:sz w:val="24"/>
          <w:szCs w:val="24"/>
          <w:lang w:eastAsia="uk-UA"/>
        </w:rPr>
        <w:t>3. У </w:t>
      </w:r>
      <w:hyperlink r:id="rId22" w:anchor="n47" w:tgtFrame="_blank" w:history="1">
        <w:r w:rsidRPr="00225144">
          <w:rPr>
            <w:rFonts w:ascii="Times New Roman" w:eastAsia="Times New Roman" w:hAnsi="Times New Roman" w:cs="Times New Roman"/>
            <w:color w:val="0000FF"/>
            <w:sz w:val="24"/>
            <w:szCs w:val="24"/>
            <w:u w:val="single"/>
            <w:lang w:eastAsia="uk-UA"/>
          </w:rPr>
          <w:t>пункті 5</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225144">
        <w:rPr>
          <w:rFonts w:ascii="Times New Roman" w:eastAsia="Times New Roman" w:hAnsi="Times New Roman" w:cs="Times New Roman"/>
          <w:color w:val="000000"/>
          <w:sz w:val="24"/>
          <w:szCs w:val="24"/>
          <w:lang w:eastAsia="uk-UA"/>
        </w:rPr>
        <w:t>1) в абзаці першому слова “Квартальна фінансова звітність (крім зведеної та консолідованої)” замінити словами і цифрою “Проміжна фінансова звітність (I квартал, перше півріччя, дев’ять місяців), крім консолідованої,”, а після слів і цифри “у пункті 2” доповнити словами “(крім органів Казначейства)”;</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225144">
        <w:rPr>
          <w:rFonts w:ascii="Times New Roman" w:eastAsia="Times New Roman" w:hAnsi="Times New Roman" w:cs="Times New Roman"/>
          <w:color w:val="000000"/>
          <w:sz w:val="24"/>
          <w:szCs w:val="24"/>
          <w:lang w:eastAsia="uk-UA"/>
        </w:rPr>
        <w:t>2) в абзаці другому слова “Квартальна” та “органові державної податкової служби” замінити відповідно словами і цифрою “Проміжна (I квартал, перше півріччя, дев’ять місяців)” та “органам доходів і зборів”.</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225144">
        <w:rPr>
          <w:rFonts w:ascii="Times New Roman" w:eastAsia="Times New Roman" w:hAnsi="Times New Roman" w:cs="Times New Roman"/>
          <w:color w:val="000000"/>
          <w:sz w:val="24"/>
          <w:szCs w:val="24"/>
          <w:lang w:eastAsia="uk-UA"/>
        </w:rPr>
        <w:t>4. У </w:t>
      </w:r>
      <w:hyperlink r:id="rId23" w:anchor="n51" w:tgtFrame="_blank" w:history="1">
        <w:r w:rsidRPr="00225144">
          <w:rPr>
            <w:rFonts w:ascii="Times New Roman" w:eastAsia="Times New Roman" w:hAnsi="Times New Roman" w:cs="Times New Roman"/>
            <w:color w:val="0000FF"/>
            <w:sz w:val="24"/>
            <w:szCs w:val="24"/>
            <w:u w:val="single"/>
            <w:lang w:eastAsia="uk-UA"/>
          </w:rPr>
          <w:t>пункті 6</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225144">
        <w:rPr>
          <w:rFonts w:ascii="Times New Roman" w:eastAsia="Times New Roman" w:hAnsi="Times New Roman" w:cs="Times New Roman"/>
          <w:color w:val="000000"/>
          <w:sz w:val="24"/>
          <w:szCs w:val="24"/>
          <w:lang w:eastAsia="uk-UA"/>
        </w:rPr>
        <w:lastRenderedPageBreak/>
        <w:t>1) в абзаці першому слово “Квартальна” замінити словами і цифрою “Проміжна (I квартал, перше півріччя, дев’ять місяців)”, а після слів “місцевих бюджетів” доповнити словами “до органів Казначейства”;</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225144">
        <w:rPr>
          <w:rFonts w:ascii="Times New Roman" w:eastAsia="Times New Roman" w:hAnsi="Times New Roman" w:cs="Times New Roman"/>
          <w:color w:val="000000"/>
          <w:sz w:val="24"/>
          <w:szCs w:val="24"/>
          <w:lang w:eastAsia="uk-UA"/>
        </w:rPr>
        <w:t>2) доповнити пункт після абзацу першого новим абзацом такого змісту: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225144">
        <w:rPr>
          <w:rFonts w:ascii="Times New Roman" w:eastAsia="Times New Roman" w:hAnsi="Times New Roman" w:cs="Times New Roman"/>
          <w:color w:val="000000"/>
          <w:sz w:val="24"/>
          <w:szCs w:val="24"/>
          <w:lang w:eastAsia="uk-UA"/>
        </w:rPr>
        <w:t>“Проміжна фінансова звітність (I квартал, перше півріччя, дев’ять місяців) подається органами фондів загальнообов’язкового державного соціального і пенсійного страхування не пізніше ніж 10 числа другого місяця, що настає за звітним кварталом, а річна фінансова звітність - не пізніше ніж 15 березня року, що настає за звітним роком.”.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225144">
        <w:rPr>
          <w:rFonts w:ascii="Times New Roman" w:eastAsia="Times New Roman" w:hAnsi="Times New Roman" w:cs="Times New Roman"/>
          <w:color w:val="000000"/>
          <w:sz w:val="24"/>
          <w:szCs w:val="24"/>
          <w:lang w:eastAsia="uk-UA"/>
        </w:rPr>
        <w:t>У зв’язку з цим абзаци другий - четвертий вважати відповідно абзацами третім - п’ятим;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225144">
        <w:rPr>
          <w:rFonts w:ascii="Times New Roman" w:eastAsia="Times New Roman" w:hAnsi="Times New Roman" w:cs="Times New Roman"/>
          <w:color w:val="000000"/>
          <w:sz w:val="24"/>
          <w:szCs w:val="24"/>
          <w:lang w:eastAsia="uk-UA"/>
        </w:rPr>
        <w:t>3) в абзаці третьому слова “і місцевих бюджетів” та “квартальну”  замінити відповідно словами і цифрою “, місцевих бюджетів та органи фондів загальнообов’язкового державного соціального і пенсійного страхування” та “проміжну (I квартал, перше півріччя, дев’ять місяців)”.</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225144">
        <w:rPr>
          <w:rFonts w:ascii="Times New Roman" w:eastAsia="Times New Roman" w:hAnsi="Times New Roman" w:cs="Times New Roman"/>
          <w:color w:val="000000"/>
          <w:sz w:val="24"/>
          <w:szCs w:val="24"/>
          <w:lang w:eastAsia="uk-UA"/>
        </w:rPr>
        <w:t>5. У </w:t>
      </w:r>
      <w:hyperlink r:id="rId24" w:anchor="n60" w:tgtFrame="_blank" w:history="1">
        <w:r w:rsidRPr="00225144">
          <w:rPr>
            <w:rFonts w:ascii="Times New Roman" w:eastAsia="Times New Roman" w:hAnsi="Times New Roman" w:cs="Times New Roman"/>
            <w:color w:val="0000FF"/>
            <w:sz w:val="24"/>
            <w:szCs w:val="24"/>
            <w:u w:val="single"/>
            <w:lang w:eastAsia="uk-UA"/>
          </w:rPr>
          <w:t>пункті 7</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225144">
        <w:rPr>
          <w:rFonts w:ascii="Times New Roman" w:eastAsia="Times New Roman" w:hAnsi="Times New Roman" w:cs="Times New Roman"/>
          <w:color w:val="000000"/>
          <w:sz w:val="24"/>
          <w:szCs w:val="24"/>
          <w:lang w:eastAsia="uk-UA"/>
        </w:rPr>
        <w:t>1) в абзаці першому слова “подають квартальну та річну зведену” замінити словами  і цифрою “та фонди загальнообов’язкового державного соціального і пенсійного страхування подають проміжну (I квартал, перше півріччя, дев’ять місяців) консолідовану та річну консолідовану”;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225144">
        <w:rPr>
          <w:rFonts w:ascii="Times New Roman" w:eastAsia="Times New Roman" w:hAnsi="Times New Roman" w:cs="Times New Roman"/>
          <w:color w:val="000000"/>
          <w:sz w:val="24"/>
          <w:szCs w:val="24"/>
          <w:lang w:eastAsia="uk-UA"/>
        </w:rPr>
        <w:t>2) в абзаці другому слова “Органи місцевого самоврядування, які здійснюють управління майном підприємств комунальної власності, подають зведену фінансову звітність про використання бюджетних коштів” замінити словами “Головні розпорядники коштів місцевих бюджетів подають консолідовану фінансову звітність органам Казначейства та”.</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225144">
        <w:rPr>
          <w:rFonts w:ascii="Times New Roman" w:eastAsia="Times New Roman" w:hAnsi="Times New Roman" w:cs="Times New Roman"/>
          <w:color w:val="000000"/>
          <w:sz w:val="24"/>
          <w:szCs w:val="24"/>
          <w:lang w:eastAsia="uk-UA"/>
        </w:rPr>
        <w:t>6. У </w:t>
      </w:r>
      <w:hyperlink r:id="rId25" w:anchor="n63" w:tgtFrame="_blank" w:history="1">
        <w:r w:rsidRPr="00225144">
          <w:rPr>
            <w:rFonts w:ascii="Times New Roman" w:eastAsia="Times New Roman" w:hAnsi="Times New Roman" w:cs="Times New Roman"/>
            <w:color w:val="0000FF"/>
            <w:sz w:val="24"/>
            <w:szCs w:val="24"/>
            <w:u w:val="single"/>
            <w:lang w:eastAsia="uk-UA"/>
          </w:rPr>
          <w:t>пункті 8</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225144">
        <w:rPr>
          <w:rFonts w:ascii="Times New Roman" w:eastAsia="Times New Roman" w:hAnsi="Times New Roman" w:cs="Times New Roman"/>
          <w:color w:val="000000"/>
          <w:sz w:val="24"/>
          <w:szCs w:val="24"/>
          <w:lang w:eastAsia="uk-UA"/>
        </w:rPr>
        <w:t>1) абзац перший викласти в такій редакції:</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225144">
        <w:rPr>
          <w:rFonts w:ascii="Times New Roman" w:eastAsia="Times New Roman" w:hAnsi="Times New Roman" w:cs="Times New Roman"/>
          <w:color w:val="000000"/>
          <w:sz w:val="24"/>
          <w:szCs w:val="24"/>
          <w:lang w:eastAsia="uk-UA"/>
        </w:rPr>
        <w:t xml:space="preserve">“8. Міністерства, інші центральні органи виконавчої влади, до сфери управління яких належать суб’єкти господарювання державного сектору економіки, крім власної звітності, подають консолідовану фінансову звітність щодо підприємств, які належать до сфери їх управління, </w:t>
      </w:r>
      <w:proofErr w:type="spellStart"/>
      <w:r w:rsidRPr="00225144">
        <w:rPr>
          <w:rFonts w:ascii="Times New Roman" w:eastAsia="Times New Roman" w:hAnsi="Times New Roman" w:cs="Times New Roman"/>
          <w:color w:val="000000"/>
          <w:sz w:val="24"/>
          <w:szCs w:val="24"/>
          <w:lang w:eastAsia="uk-UA"/>
        </w:rPr>
        <w:t>Мінекономрозвитку</w:t>
      </w:r>
      <w:proofErr w:type="spellEnd"/>
      <w:r w:rsidRPr="00225144">
        <w:rPr>
          <w:rFonts w:ascii="Times New Roman" w:eastAsia="Times New Roman" w:hAnsi="Times New Roman" w:cs="Times New Roman"/>
          <w:color w:val="000000"/>
          <w:sz w:val="24"/>
          <w:szCs w:val="24"/>
          <w:lang w:eastAsia="uk-UA"/>
        </w:rPr>
        <w:t xml:space="preserve"> і Мінфіну щокварталу не пізніше 45 днів після закінчення звітного кварталу та щороку не пізніше 15 квітня наступного за звітним року.”;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225144">
        <w:rPr>
          <w:rFonts w:ascii="Times New Roman" w:eastAsia="Times New Roman" w:hAnsi="Times New Roman" w:cs="Times New Roman"/>
          <w:color w:val="000000"/>
          <w:sz w:val="24"/>
          <w:szCs w:val="24"/>
          <w:lang w:eastAsia="uk-UA"/>
        </w:rPr>
        <w:t>2) в абзаці другому слово “Укоопспілка” замінити словом “</w:t>
      </w:r>
      <w:proofErr w:type="spellStart"/>
      <w:r w:rsidRPr="00225144">
        <w:rPr>
          <w:rFonts w:ascii="Times New Roman" w:eastAsia="Times New Roman" w:hAnsi="Times New Roman" w:cs="Times New Roman"/>
          <w:color w:val="000000"/>
          <w:sz w:val="24"/>
          <w:szCs w:val="24"/>
          <w:lang w:eastAsia="uk-UA"/>
        </w:rPr>
        <w:t>Укркоопспілка</w:t>
      </w:r>
      <w:proofErr w:type="spellEnd"/>
      <w:r w:rsidRPr="00225144">
        <w:rPr>
          <w:rFonts w:ascii="Times New Roman" w:eastAsia="Times New Roman" w:hAnsi="Times New Roman" w:cs="Times New Roman"/>
          <w:color w:val="000000"/>
          <w:sz w:val="24"/>
          <w:szCs w:val="24"/>
          <w:lang w:eastAsia="uk-UA"/>
        </w:rPr>
        <w:t>”, а слово “зведену” словом “консолідовану”;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225144">
        <w:rPr>
          <w:rFonts w:ascii="Times New Roman" w:eastAsia="Times New Roman" w:hAnsi="Times New Roman" w:cs="Times New Roman"/>
          <w:color w:val="000000"/>
          <w:sz w:val="24"/>
          <w:szCs w:val="24"/>
          <w:lang w:eastAsia="uk-UA"/>
        </w:rPr>
        <w:t>3) в абзацах третьому і четвертому слово “зведену” замінити словом “консолідовану”.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225144">
        <w:rPr>
          <w:rFonts w:ascii="Times New Roman" w:eastAsia="Times New Roman" w:hAnsi="Times New Roman" w:cs="Times New Roman"/>
          <w:color w:val="000000"/>
          <w:sz w:val="24"/>
          <w:szCs w:val="24"/>
          <w:lang w:eastAsia="uk-UA"/>
        </w:rPr>
        <w:t>7. У </w:t>
      </w:r>
      <w:hyperlink r:id="rId26" w:anchor="n68" w:tgtFrame="_blank" w:history="1">
        <w:r w:rsidRPr="00225144">
          <w:rPr>
            <w:rFonts w:ascii="Times New Roman" w:eastAsia="Times New Roman" w:hAnsi="Times New Roman" w:cs="Times New Roman"/>
            <w:color w:val="0000FF"/>
            <w:sz w:val="24"/>
            <w:szCs w:val="24"/>
            <w:u w:val="single"/>
            <w:lang w:eastAsia="uk-UA"/>
          </w:rPr>
          <w:t>пункті 9</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225144">
        <w:rPr>
          <w:rFonts w:ascii="Times New Roman" w:eastAsia="Times New Roman" w:hAnsi="Times New Roman" w:cs="Times New Roman"/>
          <w:color w:val="000000"/>
          <w:sz w:val="24"/>
          <w:szCs w:val="24"/>
          <w:lang w:eastAsia="uk-UA"/>
        </w:rPr>
        <w:t>1) у першому реченні слова “Органи місцевого самоврядування подають зведену фінансову звітність про фінансове становище, результати діяльності та рух грошових коштів щодо всіх підприємств комунальної власності, а також зведену фінансову звітність про фінансове становище, результати діяльності та рух грошових коштів щодо господарських товариств, акції (частки, паї) яких перебувають у комунальній власності” замінити словами “Органи, які здійснюють управління майном суб’єктів господарювання комунального сектору економіки, крім власної звітності, подають консолідовану фінансову звітність щодо підприємств, які належать до сфери їх управління”;</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225144">
        <w:rPr>
          <w:rFonts w:ascii="Times New Roman" w:eastAsia="Times New Roman" w:hAnsi="Times New Roman" w:cs="Times New Roman"/>
          <w:color w:val="000000"/>
          <w:sz w:val="24"/>
          <w:szCs w:val="24"/>
          <w:lang w:eastAsia="uk-UA"/>
        </w:rPr>
        <w:t>2) друге речення виключити.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225144">
        <w:rPr>
          <w:rFonts w:ascii="Times New Roman" w:eastAsia="Times New Roman" w:hAnsi="Times New Roman" w:cs="Times New Roman"/>
          <w:color w:val="000000"/>
          <w:sz w:val="24"/>
          <w:szCs w:val="24"/>
          <w:lang w:eastAsia="uk-UA"/>
        </w:rPr>
        <w:t>8. </w:t>
      </w:r>
      <w:hyperlink r:id="rId27" w:anchor="n70" w:tgtFrame="_blank" w:history="1">
        <w:r w:rsidRPr="00225144">
          <w:rPr>
            <w:rFonts w:ascii="Times New Roman" w:eastAsia="Times New Roman" w:hAnsi="Times New Roman" w:cs="Times New Roman"/>
            <w:color w:val="0000FF"/>
            <w:sz w:val="24"/>
            <w:szCs w:val="24"/>
            <w:u w:val="single"/>
            <w:lang w:eastAsia="uk-UA"/>
          </w:rPr>
          <w:t>Пункт 11</w:t>
        </w:r>
      </w:hyperlink>
      <w:r w:rsidRPr="00225144">
        <w:rPr>
          <w:rFonts w:ascii="Times New Roman" w:eastAsia="Times New Roman" w:hAnsi="Times New Roman" w:cs="Times New Roman"/>
          <w:color w:val="000000"/>
          <w:sz w:val="24"/>
          <w:szCs w:val="24"/>
          <w:lang w:eastAsia="uk-UA"/>
        </w:rPr>
        <w:t> викласти в такій редакції:</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225144">
        <w:rPr>
          <w:rFonts w:ascii="Times New Roman" w:eastAsia="Times New Roman" w:hAnsi="Times New Roman" w:cs="Times New Roman"/>
          <w:color w:val="000000"/>
          <w:sz w:val="24"/>
          <w:szCs w:val="24"/>
          <w:lang w:eastAsia="uk-UA"/>
        </w:rPr>
        <w:t xml:space="preserve">“11. Підприємства, що мають дочірні підприємства, крім фінансових звітів про власні господарські операції, подають консолідовану фінансову звітність власникам (засновникам), </w:t>
      </w:r>
      <w:r w:rsidRPr="00225144">
        <w:rPr>
          <w:rFonts w:ascii="Times New Roman" w:eastAsia="Times New Roman" w:hAnsi="Times New Roman" w:cs="Times New Roman"/>
          <w:color w:val="000000"/>
          <w:sz w:val="24"/>
          <w:szCs w:val="24"/>
          <w:lang w:eastAsia="uk-UA"/>
        </w:rPr>
        <w:lastRenderedPageBreak/>
        <w:t>до центру збору фінансової звітності та іншим користувачам не пізніше 45 днів після закінчення звітного кварталу та не пізніше строків, передбачених законодавством для оприлюднення річної консолідованої фінансової звітності.</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225144">
        <w:rPr>
          <w:rFonts w:ascii="Times New Roman" w:eastAsia="Times New Roman" w:hAnsi="Times New Roman" w:cs="Times New Roman"/>
          <w:color w:val="000000"/>
          <w:sz w:val="24"/>
          <w:szCs w:val="24"/>
          <w:lang w:eastAsia="uk-UA"/>
        </w:rPr>
        <w:t>Підприємства, які переходять на складення фінансової звітності та консолідованої фінансової звітності за міжнародними стандартами фінансової звітності, надсилають листом відповідну інформацію органам державної статистики у передбачені для подання такої звітності строки.”.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225144">
        <w:rPr>
          <w:rFonts w:ascii="Times New Roman" w:eastAsia="Times New Roman" w:hAnsi="Times New Roman" w:cs="Times New Roman"/>
          <w:color w:val="000000"/>
          <w:sz w:val="24"/>
          <w:szCs w:val="24"/>
          <w:lang w:eastAsia="uk-UA"/>
        </w:rPr>
        <w:t>9. У </w:t>
      </w:r>
      <w:hyperlink r:id="rId28" w:anchor="n72" w:tgtFrame="_blank" w:history="1">
        <w:r w:rsidRPr="00225144">
          <w:rPr>
            <w:rFonts w:ascii="Times New Roman" w:eastAsia="Times New Roman" w:hAnsi="Times New Roman" w:cs="Times New Roman"/>
            <w:color w:val="0000FF"/>
            <w:sz w:val="24"/>
            <w:szCs w:val="24"/>
            <w:u w:val="single"/>
            <w:lang w:eastAsia="uk-UA"/>
          </w:rPr>
          <w:t>пункті 12</w:t>
        </w:r>
      </w:hyperlink>
      <w:r w:rsidRPr="00225144">
        <w:rPr>
          <w:rFonts w:ascii="Times New Roman" w:eastAsia="Times New Roman" w:hAnsi="Times New Roman" w:cs="Times New Roman"/>
          <w:color w:val="000000"/>
          <w:sz w:val="24"/>
          <w:szCs w:val="24"/>
          <w:lang w:eastAsia="uk-UA"/>
        </w:rPr>
        <w:t>:</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225144">
        <w:rPr>
          <w:rFonts w:ascii="Times New Roman" w:eastAsia="Times New Roman" w:hAnsi="Times New Roman" w:cs="Times New Roman"/>
          <w:color w:val="000000"/>
          <w:sz w:val="24"/>
          <w:szCs w:val="24"/>
          <w:lang w:eastAsia="uk-UA"/>
        </w:rPr>
        <w:t>1) в абзаці третьому слова “передачі” і “в оренду” замінити відповідно словами “передачі/повернення” і “в оренду/з оренди”;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225144">
        <w:rPr>
          <w:rFonts w:ascii="Times New Roman" w:eastAsia="Times New Roman" w:hAnsi="Times New Roman" w:cs="Times New Roman"/>
          <w:color w:val="000000"/>
          <w:sz w:val="24"/>
          <w:szCs w:val="24"/>
          <w:lang w:eastAsia="uk-UA"/>
        </w:rPr>
        <w:t>2) доповнити пункт після абзацу третього новим абзацом такого змісту: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225144">
        <w:rPr>
          <w:rFonts w:ascii="Times New Roman" w:eastAsia="Times New Roman" w:hAnsi="Times New Roman" w:cs="Times New Roman"/>
          <w:color w:val="000000"/>
          <w:sz w:val="24"/>
          <w:szCs w:val="24"/>
          <w:lang w:eastAsia="uk-UA"/>
        </w:rPr>
        <w:t>“відчуження майна, що передано казенним підприємствам, державним комерційним підприємствам (їх об’єднанням), установам та організаціям, майна, переданого Національній академії наук та галузевим академіям наук у безстрокове безоплатне користування;”.</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225144">
        <w:rPr>
          <w:rFonts w:ascii="Times New Roman" w:eastAsia="Times New Roman" w:hAnsi="Times New Roman" w:cs="Times New Roman"/>
          <w:color w:val="000000"/>
          <w:sz w:val="24"/>
          <w:szCs w:val="24"/>
          <w:lang w:eastAsia="uk-UA"/>
        </w:rPr>
        <w:t>У зв’язку з цим абзаци четвертий - дванадцятий вважати відповідно абзацами п’ятим - тринадцятим;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225144">
        <w:rPr>
          <w:rFonts w:ascii="Times New Roman" w:eastAsia="Times New Roman" w:hAnsi="Times New Roman" w:cs="Times New Roman"/>
          <w:color w:val="000000"/>
          <w:sz w:val="24"/>
          <w:szCs w:val="24"/>
          <w:lang w:eastAsia="uk-UA"/>
        </w:rPr>
        <w:t>3) доповнити пункт після абзацу сьомого новим абзацом такого змісту: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225144">
        <w:rPr>
          <w:rFonts w:ascii="Times New Roman" w:eastAsia="Times New Roman" w:hAnsi="Times New Roman" w:cs="Times New Roman"/>
          <w:color w:val="000000"/>
          <w:sz w:val="24"/>
          <w:szCs w:val="24"/>
          <w:lang w:eastAsia="uk-UA"/>
        </w:rPr>
        <w:t>“у разі переходу на складення фінансової звітності за міжнародними стандартами фінансової звітності (на дату такого переходу);”.</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225144">
        <w:rPr>
          <w:rFonts w:ascii="Times New Roman" w:eastAsia="Times New Roman" w:hAnsi="Times New Roman" w:cs="Times New Roman"/>
          <w:color w:val="000000"/>
          <w:sz w:val="24"/>
          <w:szCs w:val="24"/>
          <w:lang w:eastAsia="uk-UA"/>
        </w:rPr>
        <w:t>У зв’язку з цим абзаци восьмий - тринадцятий вважати відповідно абзацами дев’ятим - чотирнадцятим;</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225144">
        <w:rPr>
          <w:rFonts w:ascii="Times New Roman" w:eastAsia="Times New Roman" w:hAnsi="Times New Roman" w:cs="Times New Roman"/>
          <w:color w:val="000000"/>
          <w:sz w:val="24"/>
          <w:szCs w:val="24"/>
          <w:lang w:eastAsia="uk-UA"/>
        </w:rPr>
        <w:t>4) в абзаці чотирнадцятому слово “МКТ” замінити словом “Мінкультури”.</w:t>
      </w:r>
    </w:p>
    <w:p w:rsidR="00225144" w:rsidRPr="00225144" w:rsidRDefault="00225144" w:rsidP="00225144">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225144">
        <w:rPr>
          <w:rFonts w:ascii="Times New Roman" w:eastAsia="Times New Roman" w:hAnsi="Times New Roman" w:cs="Times New Roman"/>
          <w:color w:val="000000"/>
          <w:sz w:val="24"/>
          <w:szCs w:val="24"/>
          <w:lang w:eastAsia="uk-UA"/>
        </w:rPr>
        <w:t>10. </w:t>
      </w:r>
      <w:hyperlink r:id="rId29" w:anchor="n89" w:tgtFrame="_blank" w:history="1">
        <w:r w:rsidRPr="00225144">
          <w:rPr>
            <w:rFonts w:ascii="Times New Roman" w:eastAsia="Times New Roman" w:hAnsi="Times New Roman" w:cs="Times New Roman"/>
            <w:color w:val="0000FF"/>
            <w:sz w:val="24"/>
            <w:szCs w:val="24"/>
            <w:u w:val="single"/>
            <w:lang w:eastAsia="uk-UA"/>
          </w:rPr>
          <w:t>Додаток</w:t>
        </w:r>
      </w:hyperlink>
      <w:r w:rsidRPr="00225144">
        <w:rPr>
          <w:rFonts w:ascii="Times New Roman" w:eastAsia="Times New Roman" w:hAnsi="Times New Roman" w:cs="Times New Roman"/>
          <w:color w:val="000000"/>
          <w:sz w:val="24"/>
          <w:szCs w:val="24"/>
          <w:lang w:eastAsia="uk-UA"/>
        </w:rPr>
        <w:t> до Порядку виключити.</w:t>
      </w:r>
    </w:p>
    <w:p w:rsidR="00225144" w:rsidRPr="00225144" w:rsidRDefault="00225144" w:rsidP="00225144">
      <w:pPr>
        <w:spacing w:after="0" w:line="240" w:lineRule="auto"/>
        <w:rPr>
          <w:rFonts w:ascii="Roboto" w:eastAsia="Times New Roman" w:hAnsi="Roboto" w:cs="Times New Roman"/>
          <w:color w:val="292B2C"/>
          <w:sz w:val="26"/>
          <w:szCs w:val="26"/>
          <w:lang w:eastAsia="uk-UA"/>
        </w:rPr>
      </w:pPr>
      <w:r w:rsidRPr="00225144">
        <w:rPr>
          <w:rFonts w:ascii="Roboto" w:eastAsia="Times New Roman" w:hAnsi="Roboto" w:cs="Times New Roman"/>
          <w:color w:val="292B2C"/>
          <w:sz w:val="26"/>
          <w:szCs w:val="26"/>
          <w:lang w:eastAsia="uk-UA"/>
        </w:rPr>
        <w:pict>
          <v:rect id="_x0000_i1026" style="width:0;height:0" o:hralign="center" o:hrstd="t" o:hrnoshade="t" o:hr="t" fillcolor="black" stroked="f"/>
        </w:pict>
      </w:r>
    </w:p>
    <w:p w:rsidR="00225144" w:rsidRPr="00225144" w:rsidRDefault="00225144" w:rsidP="00225144">
      <w:pPr>
        <w:spacing w:after="100" w:afterAutospacing="1" w:line="240" w:lineRule="auto"/>
        <w:outlineLvl w:val="1"/>
        <w:rPr>
          <w:rFonts w:ascii="inherit" w:eastAsia="Times New Roman" w:hAnsi="inherit" w:cs="Times New Roman"/>
          <w:color w:val="333333"/>
          <w:sz w:val="36"/>
          <w:szCs w:val="36"/>
          <w:lang w:eastAsia="uk-UA"/>
        </w:rPr>
      </w:pPr>
      <w:r w:rsidRPr="00225144">
        <w:rPr>
          <w:rFonts w:ascii="inherit" w:eastAsia="Times New Roman" w:hAnsi="inherit" w:cs="Times New Roman"/>
          <w:color w:val="333333"/>
          <w:sz w:val="36"/>
          <w:szCs w:val="36"/>
          <w:lang w:eastAsia="uk-UA"/>
        </w:rPr>
        <w:t>Публікації документа</w:t>
      </w:r>
    </w:p>
    <w:p w:rsidR="00225144" w:rsidRPr="00225144" w:rsidRDefault="00225144" w:rsidP="00225144">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225144">
        <w:rPr>
          <w:rFonts w:ascii="Roboto" w:eastAsia="Times New Roman" w:hAnsi="Roboto" w:cs="Times New Roman"/>
          <w:b/>
          <w:bCs/>
          <w:color w:val="292B2C"/>
          <w:sz w:val="26"/>
          <w:szCs w:val="26"/>
          <w:lang w:eastAsia="uk-UA"/>
        </w:rPr>
        <w:t>Урядовий кур'єр</w:t>
      </w:r>
      <w:r w:rsidRPr="00225144">
        <w:rPr>
          <w:rFonts w:ascii="Roboto" w:eastAsia="Times New Roman" w:hAnsi="Roboto" w:cs="Times New Roman"/>
          <w:color w:val="292B2C"/>
          <w:sz w:val="26"/>
          <w:szCs w:val="26"/>
          <w:lang w:eastAsia="uk-UA"/>
        </w:rPr>
        <w:t> від 14.07.2018 — № 130</w:t>
      </w:r>
    </w:p>
    <w:p w:rsidR="00225144" w:rsidRPr="00225144" w:rsidRDefault="00225144" w:rsidP="00225144">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225144">
        <w:rPr>
          <w:rFonts w:ascii="Roboto" w:eastAsia="Times New Roman" w:hAnsi="Roboto" w:cs="Times New Roman"/>
          <w:b/>
          <w:bCs/>
          <w:color w:val="292B2C"/>
          <w:sz w:val="26"/>
          <w:szCs w:val="26"/>
          <w:lang w:eastAsia="uk-UA"/>
        </w:rPr>
        <w:t>Офіційний вісник України</w:t>
      </w:r>
      <w:r w:rsidRPr="00225144">
        <w:rPr>
          <w:rFonts w:ascii="Roboto" w:eastAsia="Times New Roman" w:hAnsi="Roboto" w:cs="Times New Roman"/>
          <w:color w:val="292B2C"/>
          <w:sz w:val="26"/>
          <w:szCs w:val="26"/>
          <w:lang w:eastAsia="uk-UA"/>
        </w:rPr>
        <w:t xml:space="preserve"> від 27.07.2018 — 2018 р., № 57, </w:t>
      </w:r>
      <w:proofErr w:type="spellStart"/>
      <w:r w:rsidRPr="00225144">
        <w:rPr>
          <w:rFonts w:ascii="Roboto" w:eastAsia="Times New Roman" w:hAnsi="Roboto" w:cs="Times New Roman"/>
          <w:color w:val="292B2C"/>
          <w:sz w:val="26"/>
          <w:szCs w:val="26"/>
          <w:lang w:eastAsia="uk-UA"/>
        </w:rPr>
        <w:t>стор</w:t>
      </w:r>
      <w:proofErr w:type="spellEnd"/>
      <w:r w:rsidRPr="00225144">
        <w:rPr>
          <w:rFonts w:ascii="Roboto" w:eastAsia="Times New Roman" w:hAnsi="Roboto" w:cs="Times New Roman"/>
          <w:color w:val="292B2C"/>
          <w:sz w:val="26"/>
          <w:szCs w:val="26"/>
          <w:lang w:eastAsia="uk-UA"/>
        </w:rPr>
        <w:t xml:space="preserve">. 14, стаття 1991, код </w:t>
      </w:r>
      <w:proofErr w:type="spellStart"/>
      <w:r w:rsidRPr="00225144">
        <w:rPr>
          <w:rFonts w:ascii="Roboto" w:eastAsia="Times New Roman" w:hAnsi="Roboto" w:cs="Times New Roman"/>
          <w:color w:val="292B2C"/>
          <w:sz w:val="26"/>
          <w:szCs w:val="26"/>
          <w:lang w:eastAsia="uk-UA"/>
        </w:rPr>
        <w:t>акта</w:t>
      </w:r>
      <w:proofErr w:type="spellEnd"/>
      <w:r w:rsidRPr="00225144">
        <w:rPr>
          <w:rFonts w:ascii="Roboto" w:eastAsia="Times New Roman" w:hAnsi="Roboto" w:cs="Times New Roman"/>
          <w:color w:val="292B2C"/>
          <w:sz w:val="26"/>
          <w:szCs w:val="26"/>
          <w:lang w:eastAsia="uk-UA"/>
        </w:rPr>
        <w:t xml:space="preserve"> 90921/2018</w:t>
      </w:r>
    </w:p>
    <w:p w:rsidR="000052C5" w:rsidRDefault="00225144">
      <w:bookmarkStart w:id="63" w:name="_GoBack"/>
      <w:bookmarkEnd w:id="63"/>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D99"/>
    <w:multiLevelType w:val="multilevel"/>
    <w:tmpl w:val="973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A"/>
    <w:rsid w:val="00225144"/>
    <w:rsid w:val="002B652F"/>
    <w:rsid w:val="003422B7"/>
    <w:rsid w:val="00490EDA"/>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77F74-3521-4D85-9DC4-6409AEE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514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144"/>
    <w:rPr>
      <w:rFonts w:ascii="Times New Roman" w:eastAsia="Times New Roman" w:hAnsi="Times New Roman" w:cs="Times New Roman"/>
      <w:b/>
      <w:bCs/>
      <w:sz w:val="36"/>
      <w:szCs w:val="36"/>
      <w:lang w:eastAsia="uk-UA"/>
    </w:rPr>
  </w:style>
  <w:style w:type="paragraph" w:customStyle="1" w:styleId="rvps7">
    <w:name w:val="rvps7"/>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25144"/>
  </w:style>
  <w:style w:type="character" w:customStyle="1" w:styleId="rvts64">
    <w:name w:val="rvts64"/>
    <w:basedOn w:val="a0"/>
    <w:rsid w:val="00225144"/>
  </w:style>
  <w:style w:type="character" w:customStyle="1" w:styleId="rvts9">
    <w:name w:val="rvts9"/>
    <w:basedOn w:val="a0"/>
    <w:rsid w:val="00225144"/>
  </w:style>
  <w:style w:type="paragraph" w:customStyle="1" w:styleId="rvps6">
    <w:name w:val="rvps6"/>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25144"/>
  </w:style>
  <w:style w:type="character" w:styleId="a3">
    <w:name w:val="Hyperlink"/>
    <w:basedOn w:val="a0"/>
    <w:uiPriority w:val="99"/>
    <w:semiHidden/>
    <w:unhideWhenUsed/>
    <w:rsid w:val="00225144"/>
    <w:rPr>
      <w:color w:val="0000FF"/>
      <w:u w:val="single"/>
    </w:rPr>
  </w:style>
  <w:style w:type="paragraph" w:customStyle="1" w:styleId="rvps4">
    <w:name w:val="rvps4"/>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25144"/>
  </w:style>
  <w:style w:type="paragraph" w:customStyle="1" w:styleId="rvps15">
    <w:name w:val="rvps15"/>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2514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13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086">
          <w:marLeft w:val="0"/>
          <w:marRight w:val="0"/>
          <w:marTop w:val="0"/>
          <w:marBottom w:val="0"/>
          <w:divBdr>
            <w:top w:val="none" w:sz="0" w:space="0" w:color="auto"/>
            <w:left w:val="none" w:sz="0" w:space="0" w:color="auto"/>
            <w:bottom w:val="none" w:sz="0" w:space="0" w:color="auto"/>
            <w:right w:val="none" w:sz="0" w:space="0" w:color="auto"/>
          </w:divBdr>
          <w:divsChild>
            <w:div w:id="1691642070">
              <w:marLeft w:val="0"/>
              <w:marRight w:val="0"/>
              <w:marTop w:val="0"/>
              <w:marBottom w:val="0"/>
              <w:divBdr>
                <w:top w:val="none" w:sz="0" w:space="0" w:color="auto"/>
                <w:left w:val="none" w:sz="0" w:space="0" w:color="auto"/>
                <w:bottom w:val="none" w:sz="0" w:space="0" w:color="auto"/>
                <w:right w:val="none" w:sz="0" w:space="0" w:color="auto"/>
              </w:divBdr>
              <w:divsChild>
                <w:div w:id="15085370">
                  <w:marLeft w:val="0"/>
                  <w:marRight w:val="0"/>
                  <w:marTop w:val="0"/>
                  <w:marBottom w:val="150"/>
                  <w:divBdr>
                    <w:top w:val="none" w:sz="0" w:space="0" w:color="auto"/>
                    <w:left w:val="none" w:sz="0" w:space="0" w:color="auto"/>
                    <w:bottom w:val="none" w:sz="0" w:space="0" w:color="auto"/>
                    <w:right w:val="none" w:sz="0" w:space="0" w:color="auto"/>
                  </w:divBdr>
                </w:div>
                <w:div w:id="341706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665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19-2000-%D0%BF" TargetMode="External"/><Relationship Id="rId13" Type="http://schemas.openxmlformats.org/officeDocument/2006/relationships/hyperlink" Target="http://zakon.rada.gov.ua/laws/show/vb457609-10" TargetMode="External"/><Relationship Id="rId18" Type="http://schemas.openxmlformats.org/officeDocument/2006/relationships/hyperlink" Target="http://zakon.rada.gov.ua/laws/show/z0103-10" TargetMode="External"/><Relationship Id="rId26" Type="http://schemas.openxmlformats.org/officeDocument/2006/relationships/hyperlink" Target="http://zakon.rada.gov.ua/laws/show/419-2000-%D0%BF" TargetMode="External"/><Relationship Id="rId3" Type="http://schemas.openxmlformats.org/officeDocument/2006/relationships/settings" Target="settings.xml"/><Relationship Id="rId21" Type="http://schemas.openxmlformats.org/officeDocument/2006/relationships/hyperlink" Target="http://zakon.rada.gov.ua/laws/show/419-2000-%D0%BF" TargetMode="External"/><Relationship Id="rId7" Type="http://schemas.openxmlformats.org/officeDocument/2006/relationships/hyperlink" Target="http://zakon.rada.gov.ua/laws/show/419-2000-%D0%BF" TargetMode="External"/><Relationship Id="rId12" Type="http://schemas.openxmlformats.org/officeDocument/2006/relationships/hyperlink" Target="http://zakon.rada.gov.ua/laws/show/vb457609-10" TargetMode="External"/><Relationship Id="rId17" Type="http://schemas.openxmlformats.org/officeDocument/2006/relationships/hyperlink" Target="http://zakon.rada.gov.ua/laws/show/z1415-15" TargetMode="External"/><Relationship Id="rId25" Type="http://schemas.openxmlformats.org/officeDocument/2006/relationships/hyperlink" Target="http://zakon.rada.gov.ua/laws/show/419-2000-%D0%BF" TargetMode="External"/><Relationship Id="rId2" Type="http://schemas.openxmlformats.org/officeDocument/2006/relationships/styles" Target="styles.xml"/><Relationship Id="rId16" Type="http://schemas.openxmlformats.org/officeDocument/2006/relationships/hyperlink" Target="http://zakon.rada.gov.ua/laws/show/2755-17" TargetMode="External"/><Relationship Id="rId20" Type="http://schemas.openxmlformats.org/officeDocument/2006/relationships/hyperlink" Target="http://zakon.rada.gov.ua/laws/show/z0161-00" TargetMode="External"/><Relationship Id="rId29" Type="http://schemas.openxmlformats.org/officeDocument/2006/relationships/hyperlink" Target="http://zakon.rada.gov.ua/laws/show/419-2000-%D0%BF" TargetMode="External"/><Relationship Id="rId1" Type="http://schemas.openxmlformats.org/officeDocument/2006/relationships/numbering" Target="numbering.xml"/><Relationship Id="rId6" Type="http://schemas.openxmlformats.org/officeDocument/2006/relationships/hyperlink" Target="http://zakon.rada.gov.ua/laws/show/419-2000-%D0%BF" TargetMode="External"/><Relationship Id="rId11" Type="http://schemas.openxmlformats.org/officeDocument/2006/relationships/hyperlink" Target="http://zakon.rada.gov.ua/laws/show/vb457609-10" TargetMode="External"/><Relationship Id="rId24" Type="http://schemas.openxmlformats.org/officeDocument/2006/relationships/hyperlink" Target="http://zakon.rada.gov.ua/laws/show/419-2000-%D0%BF" TargetMode="External"/><Relationship Id="rId5" Type="http://schemas.openxmlformats.org/officeDocument/2006/relationships/image" Target="media/image1.gif"/><Relationship Id="rId15" Type="http://schemas.openxmlformats.org/officeDocument/2006/relationships/hyperlink" Target="http://zakon.rada.gov.ua/laws/show/z0196-12" TargetMode="External"/><Relationship Id="rId23" Type="http://schemas.openxmlformats.org/officeDocument/2006/relationships/hyperlink" Target="http://zakon.rada.gov.ua/laws/show/419-2000-%D0%BF" TargetMode="External"/><Relationship Id="rId28" Type="http://schemas.openxmlformats.org/officeDocument/2006/relationships/hyperlink" Target="http://zakon.rada.gov.ua/laws/show/419-2000-%D0%BF" TargetMode="External"/><Relationship Id="rId10" Type="http://schemas.openxmlformats.org/officeDocument/2006/relationships/hyperlink" Target="http://zakon.rada.gov.ua/laws/show/vb457609-10" TargetMode="External"/><Relationship Id="rId19" Type="http://schemas.openxmlformats.org/officeDocument/2006/relationships/hyperlink" Target="http://zakon.rada.gov.ua/laws/show/996-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laws/show/996-14" TargetMode="External"/><Relationship Id="rId14" Type="http://schemas.openxmlformats.org/officeDocument/2006/relationships/hyperlink" Target="http://zakon.rada.gov.ua/laws/show/z1223-13" TargetMode="External"/><Relationship Id="rId22" Type="http://schemas.openxmlformats.org/officeDocument/2006/relationships/hyperlink" Target="http://zakon.rada.gov.ua/laws/show/419-2000-%D0%BF" TargetMode="External"/><Relationship Id="rId27" Type="http://schemas.openxmlformats.org/officeDocument/2006/relationships/hyperlink" Target="http://zakon.rada.gov.ua/laws/show/419-2000-%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9871</Words>
  <Characters>5628</Characters>
  <Application>Microsoft Office Word</Application>
  <DocSecurity>0</DocSecurity>
  <Lines>46</Lines>
  <Paragraphs>30</Paragraphs>
  <ScaleCrop>false</ScaleCrop>
  <Company>SPecialiST RePack</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2018-10-29T13:32:00Z</dcterms:created>
  <dcterms:modified xsi:type="dcterms:W3CDTF">2018-10-29T13:32:00Z</dcterms:modified>
</cp:coreProperties>
</file>