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63" w:rsidRPr="003F3C63" w:rsidRDefault="003F3C63" w:rsidP="003F3C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D1D1B"/>
          <w:sz w:val="27"/>
          <w:szCs w:val="27"/>
          <w:lang w:eastAsia="uk-UA"/>
        </w:rPr>
      </w:pPr>
      <w:r w:rsidRPr="003F3C63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uk-UA"/>
        </w:rPr>
        <w:t>Державне агентство резерву України оголошує конкурсний відбір на посаду директора державної організації «Комбінат «Айстра» Державного агентства резерву України </w:t>
      </w:r>
    </w:p>
    <w:p w:rsidR="003F3C63" w:rsidRPr="003F3C63" w:rsidRDefault="003F3C63" w:rsidP="003F3C6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1. Найменування: Державна організація «Комбінат «Айстра» Державного агентства резерву України.</w:t>
      </w:r>
    </w:p>
    <w:p w:rsidR="003F3C63" w:rsidRPr="003F3C63" w:rsidRDefault="003F3C63" w:rsidP="003F3C6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2. Місцезнаходження: вул. </w:t>
      </w:r>
      <w:proofErr w:type="spellStart"/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Чудінова</w:t>
      </w:r>
      <w:proofErr w:type="spellEnd"/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, б/н, м. Чернігів, 14001.</w:t>
      </w:r>
    </w:p>
    <w:p w:rsidR="003F3C63" w:rsidRPr="003F3C63" w:rsidRDefault="003F3C63" w:rsidP="003F3C6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3. Основні напрями діяльності:</w:t>
      </w:r>
    </w:p>
    <w:p w:rsidR="003F3C63" w:rsidRPr="003F3C63" w:rsidRDefault="003F3C63" w:rsidP="003F3C6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3F3C63" w:rsidRPr="003F3C63" w:rsidRDefault="003F3C63" w:rsidP="003F3C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адресою</w:t>
      </w:r>
      <w:proofErr w:type="spellEnd"/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: м. Київ, вул. Пушкінська, 28 (скринька «Для документів претендентів для участі у конкурсному відборі на посаду директора державної організації «Комбінат «Айстра» Державного агентства резерву України») та/або на електронну пошту: </w:t>
      </w:r>
      <w:hyperlink r:id="rId5" w:history="1">
        <w:r w:rsidRPr="003F3C63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e.volyk@rezerv.gov.ua</w:t>
        </w:r>
      </w:hyperlink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протягом 16 календарних днів після дати оприлюднення оголошення на офіційному веб-сайті Держрезерву.</w:t>
      </w:r>
    </w:p>
    <w:p w:rsidR="003F3C63" w:rsidRPr="003F3C63" w:rsidRDefault="003F3C63" w:rsidP="003F3C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Кінцевий термін подачі документів до 17:00 22 жовтня 2021 року.</w:t>
      </w:r>
    </w:p>
    <w:p w:rsidR="003F3C63" w:rsidRPr="003F3C63" w:rsidRDefault="003F3C63" w:rsidP="003F3C6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Телефон для довідок: (097) 662-85-70.</w:t>
      </w:r>
    </w:p>
    <w:p w:rsidR="003F3C63" w:rsidRPr="003F3C63" w:rsidRDefault="003F3C63" w:rsidP="003F3C6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3F3C63" w:rsidRPr="003F3C63" w:rsidRDefault="003F3C63" w:rsidP="003F3C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заяву про участь у конкурсному відборі (</w:t>
      </w:r>
      <w:hyperlink r:id="rId6" w:history="1">
        <w:r w:rsidRPr="003F3C63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зразок</w:t>
        </w:r>
      </w:hyperlink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);</w:t>
      </w:r>
    </w:p>
    <w:p w:rsidR="003F3C63" w:rsidRPr="003F3C63" w:rsidRDefault="003F3C63" w:rsidP="003F3C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3F3C63" w:rsidRPr="003F3C63" w:rsidRDefault="003F3C63" w:rsidP="003F3C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3F3C63" w:rsidRPr="003F3C63" w:rsidRDefault="003F3C63" w:rsidP="003F3C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3F3C63" w:rsidRPr="003F3C63" w:rsidRDefault="003F3C63" w:rsidP="003F3C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 про вищу освіту;</w:t>
      </w:r>
    </w:p>
    <w:p w:rsidR="003F3C63" w:rsidRPr="003F3C63" w:rsidRDefault="003F3C63" w:rsidP="003F3C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біографічну довідку (резюме);</w:t>
      </w:r>
    </w:p>
    <w:p w:rsidR="003F3C63" w:rsidRPr="003F3C63" w:rsidRDefault="003F3C63" w:rsidP="003F3C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конкурсну пропозицію;</w:t>
      </w:r>
    </w:p>
    <w:p w:rsidR="003F3C63" w:rsidRPr="003F3C63" w:rsidRDefault="003F3C63" w:rsidP="003F3C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згоду на обробку персональних даних </w:t>
      </w:r>
      <w:hyperlink r:id="rId7" w:history="1">
        <w:r w:rsidRPr="003F3C63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(зразок)</w:t>
        </w:r>
      </w:hyperlink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;</w:t>
      </w:r>
    </w:p>
    <w:p w:rsidR="003F3C63" w:rsidRPr="003F3C63" w:rsidRDefault="003F3C63" w:rsidP="003F3C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3F3C63" w:rsidRPr="003F3C63" w:rsidRDefault="003F3C63" w:rsidP="003F3C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Відповідальність за недостовірність документів несе претендент.</w:t>
      </w:r>
    </w:p>
    <w:p w:rsidR="003F3C63" w:rsidRPr="003F3C63" w:rsidRDefault="003F3C63" w:rsidP="003F3C6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3F3C63" w:rsidRPr="003F3C63" w:rsidRDefault="003F3C63" w:rsidP="003F3C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7.</w:t>
      </w: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3F3C63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претендента:</w:t>
      </w:r>
    </w:p>
    <w:tbl>
      <w:tblPr>
        <w:tblW w:w="0" w:type="auto"/>
        <w:tblBorders>
          <w:top w:val="single" w:sz="6" w:space="0" w:color="F5F7FA"/>
          <w:left w:val="single" w:sz="6" w:space="0" w:color="F5F7FA"/>
          <w:bottom w:val="single" w:sz="6" w:space="0" w:color="F5F7FA"/>
          <w:right w:val="single" w:sz="6" w:space="0" w:color="F5F7F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3F3C63" w:rsidRPr="003F3C63" w:rsidTr="003F3C63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3F3C63" w:rsidRPr="003F3C63" w:rsidTr="003F3C63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років; досвід роботи з бюджетними організаціями.</w:t>
            </w:r>
          </w:p>
        </w:tc>
      </w:tr>
      <w:tr w:rsidR="003F3C63" w:rsidRPr="003F3C63" w:rsidTr="003F3C63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3F3C63" w:rsidRPr="003F3C63" w:rsidTr="003F3C63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3F3C63" w:rsidRPr="003F3C63" w:rsidTr="003F3C63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законодавства. </w:t>
            </w:r>
          </w:p>
        </w:tc>
      </w:tr>
      <w:tr w:rsidR="003F3C63" w:rsidRPr="003F3C63" w:rsidTr="003F3C63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C63" w:rsidRPr="003F3C63" w:rsidRDefault="003F3C63" w:rsidP="003F3C63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3F3C63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3F3C63" w:rsidRPr="003F3C63" w:rsidRDefault="003F3C63" w:rsidP="003F3C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8.</w:t>
      </w: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3F3C63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конкурсної пропозиції:</w:t>
      </w:r>
    </w:p>
    <w:p w:rsidR="003F3C63" w:rsidRPr="003F3C63" w:rsidRDefault="003F3C63" w:rsidP="003F3C6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проєкт</w:t>
      </w:r>
      <w:proofErr w:type="spellEnd"/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3F3C63" w:rsidRPr="003F3C63" w:rsidRDefault="003F3C63" w:rsidP="003F3C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план першочергових дій з оптимізації діяльності державної організації протягом одного року;</w:t>
      </w:r>
    </w:p>
    <w:p w:rsidR="003F3C63" w:rsidRPr="003F3C63" w:rsidRDefault="003F3C63" w:rsidP="003F3C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3F3C63" w:rsidRPr="003F3C63" w:rsidRDefault="003F3C63" w:rsidP="003F3C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обсяг надходження коштів до бюджетів;</w:t>
      </w:r>
    </w:p>
    <w:p w:rsidR="003F3C63" w:rsidRPr="003F3C63" w:rsidRDefault="003F3C63" w:rsidP="003F3C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3F3C63" w:rsidRPr="003F3C63" w:rsidRDefault="003F3C63" w:rsidP="003F3C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3F3C63" w:rsidRPr="003F3C63" w:rsidRDefault="003F3C63" w:rsidP="003F3C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«Айстра» Державного агентства резерву України: відомості про баланс (</w:t>
      </w:r>
      <w:hyperlink r:id="rId8" w:history="1">
        <w:r w:rsidRPr="003F3C63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1</w:t>
        </w:r>
      </w:hyperlink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3F3C63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2</w:t>
        </w:r>
      </w:hyperlink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рух коштів (</w:t>
      </w:r>
      <w:hyperlink r:id="rId10" w:history="1">
        <w:r w:rsidRPr="003F3C63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3</w:t>
        </w:r>
      </w:hyperlink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власний капітал (</w:t>
      </w:r>
      <w:hyperlink r:id="rId11" w:history="1">
        <w:r w:rsidRPr="003F3C63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4</w:t>
        </w:r>
      </w:hyperlink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3F3C63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5</w:t>
        </w:r>
      </w:hyperlink>
      <w:r w:rsidRPr="003F3C63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).</w:t>
      </w:r>
    </w:p>
    <w:p w:rsidR="00B06815" w:rsidRDefault="00B06815">
      <w:bookmarkStart w:id="0" w:name="_GoBack"/>
      <w:bookmarkEnd w:id="0"/>
    </w:p>
    <w:sectPr w:rsidR="00B068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8D5"/>
    <w:multiLevelType w:val="multilevel"/>
    <w:tmpl w:val="39A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B74E9"/>
    <w:multiLevelType w:val="multilevel"/>
    <w:tmpl w:val="DF2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A3106"/>
    <w:multiLevelType w:val="multilevel"/>
    <w:tmpl w:val="BA5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3"/>
    <w:rsid w:val="003F3C63"/>
    <w:rsid w:val="00B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4FB7-618D-4AD4-87DD-478971BD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3C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3C6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F3C63"/>
    <w:rPr>
      <w:b/>
      <w:bCs/>
    </w:rPr>
  </w:style>
  <w:style w:type="paragraph" w:styleId="a4">
    <w:name w:val="Normal (Web)"/>
    <w:basedOn w:val="a"/>
    <w:uiPriority w:val="99"/>
    <w:semiHidden/>
    <w:unhideWhenUsed/>
    <w:rsid w:val="003F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3F3C63"/>
    <w:rPr>
      <w:color w:val="0000FF"/>
      <w:u w:val="single"/>
    </w:rPr>
  </w:style>
  <w:style w:type="character" w:styleId="a6">
    <w:name w:val="Emphasis"/>
    <w:basedOn w:val="a0"/>
    <w:uiPriority w:val="20"/>
    <w:qFormat/>
    <w:rsid w:val="003F3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ajstra/form_f1dc20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ajstra/form_f5dc_v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zajava_kokursdirektori.docx" TargetMode="External"/><Relationship Id="rId11" Type="http://schemas.openxmlformats.org/officeDocument/2006/relationships/hyperlink" Target="https://rezerv.gov.ua/image/catalog/contentmanager/proarentstvo/dobir/vakansii/do-dp/ajstra/form_f4dc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ajstra/form_f3dc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ajstra/form_2dc19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2021-11-19T14:13:00Z</dcterms:created>
  <dcterms:modified xsi:type="dcterms:W3CDTF">2021-11-19T14:14:00Z</dcterms:modified>
</cp:coreProperties>
</file>